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>电动医废转运车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3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质保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期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技术响应情况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 </w:t>
            </w:r>
          </w:p>
        </w:tc>
        <w:tc>
          <w:tcPr>
            <w:tcW w:w="68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□完全响应             □未完全响应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未完全响应原因说明：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2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2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（一）营业执照复印件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（二）税务登记证复印件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（三）组织机构代码证复印件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说明：投标人按“三证合一”登记制度办理营业执照的，组织机构代码证和税务登记证以投标人所提供的法人营业执照（副本）复印件为准。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（注：以上复印件均需加盖单位印章，原件备查。若需要原件未能及时提供的，将导致资格审查不合格。）</w:t>
      </w:r>
    </w:p>
    <w:p>
      <w:pPr>
        <w:pStyle w:val="2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7E1A"/>
    <w:rsid w:val="1A957E1A"/>
    <w:rsid w:val="5DD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2022-10-13T01:34:00Z</dcterms:created>
  <dc:creator>吃嘎嘎不长肉</dc:creator>
  <cp:lastModifiedBy>吃嘎嘎不长肉</cp:lastModifiedBy>
  <dcterms:modified xsi:type="dcterms:W3CDTF">2022-10-21T02:10:38Z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