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_GBK" w:eastAsia="方正小标宋_GBK"/>
          <w:b/>
          <w:bCs/>
          <w:color w:val="000000"/>
          <w:sz w:val="44"/>
          <w:szCs w:val="44"/>
        </w:rPr>
      </w:pPr>
      <w:r>
        <w:rPr>
          <w:rFonts w:hint="eastAsia" w:ascii="方正小标宋_GBK" w:eastAsia="方正小标宋_GBK"/>
          <w:b/>
          <w:bCs/>
          <w:color w:val="000000"/>
          <w:sz w:val="44"/>
          <w:szCs w:val="44"/>
        </w:rPr>
        <w:t>重庆市第七人民医院</w:t>
      </w:r>
    </w:p>
    <w:p>
      <w:pPr>
        <w:spacing w:line="500" w:lineRule="exact"/>
        <w:jc w:val="center"/>
        <w:rPr>
          <w:rFonts w:ascii="方正小标宋_GBK" w:eastAsia="方正小标宋_GBK"/>
          <w:b/>
          <w:bCs/>
          <w:color w:val="000000"/>
          <w:sz w:val="44"/>
          <w:szCs w:val="44"/>
        </w:rPr>
      </w:pPr>
      <w:r>
        <w:rPr>
          <w:rFonts w:hint="eastAsia" w:ascii="方正小标宋_GBK" w:eastAsia="方正小标宋_GBK"/>
          <w:b/>
          <w:bCs/>
          <w:color w:val="000000"/>
          <w:sz w:val="44"/>
          <w:szCs w:val="44"/>
          <w:lang w:eastAsia="zh-CN"/>
        </w:rPr>
        <w:t>中联系统维护</w:t>
      </w:r>
      <w:r>
        <w:rPr>
          <w:rFonts w:hint="eastAsia" w:ascii="方正小标宋_GBK" w:eastAsia="方正小标宋_GBK"/>
          <w:b/>
          <w:bCs/>
          <w:color w:val="000000"/>
          <w:sz w:val="44"/>
          <w:szCs w:val="44"/>
        </w:rPr>
        <w:t>项目单一来源采购通知书</w:t>
      </w:r>
    </w:p>
    <w:p>
      <w:pPr>
        <w:tabs>
          <w:tab w:val="left" w:pos="964"/>
          <w:tab w:val="center" w:pos="4766"/>
        </w:tabs>
        <w:spacing w:line="500" w:lineRule="exact"/>
        <w:jc w:val="center"/>
        <w:rPr>
          <w:rFonts w:hint="default" w:ascii="楷体" w:hAnsi="楷体" w:eastAsia="楷体" w:cs="楷体"/>
          <w:sz w:val="28"/>
          <w:szCs w:val="28"/>
          <w:highlight w:val="yellow"/>
          <w:lang w:val="en-US" w:eastAsia="zh-CN"/>
        </w:rPr>
      </w:pPr>
      <w:r>
        <w:rPr>
          <w:rFonts w:hint="eastAsia" w:ascii="楷体" w:hAnsi="楷体" w:eastAsia="楷体" w:cs="楷体"/>
          <w:color w:val="000000"/>
          <w:sz w:val="28"/>
          <w:szCs w:val="28"/>
        </w:rPr>
        <w:t>采购编号：CQ7Y</w:t>
      </w:r>
      <w:r>
        <w:rPr>
          <w:rFonts w:hint="eastAsia" w:ascii="楷体" w:hAnsi="楷体" w:eastAsia="楷体" w:cs="楷体"/>
          <w:color w:val="000000"/>
          <w:sz w:val="28"/>
          <w:szCs w:val="28"/>
          <w:lang w:val="en-US" w:eastAsia="zh-CN"/>
        </w:rPr>
        <w:t>C</w:t>
      </w:r>
      <w:r>
        <w:rPr>
          <w:rFonts w:ascii="楷体" w:hAnsi="楷体" w:eastAsia="楷体" w:cs="楷体"/>
          <w:color w:val="000000"/>
          <w:sz w:val="28"/>
          <w:szCs w:val="28"/>
        </w:rPr>
        <w:t>20</w:t>
      </w:r>
      <w:r>
        <w:rPr>
          <w:rFonts w:hint="eastAsia" w:ascii="楷体" w:hAnsi="楷体" w:eastAsia="楷体" w:cs="楷体"/>
          <w:color w:val="000000"/>
          <w:sz w:val="28"/>
          <w:szCs w:val="28"/>
        </w:rPr>
        <w:t>220</w:t>
      </w:r>
      <w:r>
        <w:rPr>
          <w:rFonts w:hint="eastAsia" w:ascii="楷体" w:hAnsi="楷体" w:eastAsia="楷体" w:cs="楷体"/>
          <w:color w:val="000000"/>
          <w:sz w:val="28"/>
          <w:szCs w:val="28"/>
          <w:lang w:val="en-US" w:eastAsia="zh-CN"/>
        </w:rPr>
        <w:t>45</w:t>
      </w:r>
    </w:p>
    <w:p>
      <w:pPr>
        <w:spacing w:line="500" w:lineRule="exact"/>
        <w:ind w:left="-199" w:leftChars="-95" w:firstLine="484" w:firstLineChars="202"/>
        <w:rPr>
          <w:rFonts w:ascii="仿宋_GB2312" w:eastAsia="仿宋_GB2312"/>
          <w:color w:val="000000"/>
          <w:sz w:val="24"/>
        </w:rPr>
      </w:pPr>
    </w:p>
    <w:p>
      <w:pPr>
        <w:spacing w:line="440" w:lineRule="exact"/>
        <w:ind w:left="-199" w:leftChars="-95" w:firstLine="646" w:firstLineChars="202"/>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重庆市第七人民医院</w:t>
      </w:r>
      <w:r>
        <w:rPr>
          <w:rFonts w:hint="eastAsia" w:ascii="方正仿宋_GBK" w:hAnsi="方正仿宋_GBK" w:eastAsia="方正仿宋_GBK" w:cs="方正仿宋_GBK"/>
          <w:color w:val="000000"/>
          <w:sz w:val="32"/>
          <w:szCs w:val="32"/>
          <w:lang w:val="en-US" w:eastAsia="zh-CN"/>
        </w:rPr>
        <w:t>拟</w:t>
      </w:r>
      <w:r>
        <w:rPr>
          <w:rFonts w:hint="eastAsia" w:ascii="方正仿宋_GBK" w:hAnsi="方正仿宋_GBK" w:eastAsia="方正仿宋_GBK" w:cs="方正仿宋_GBK"/>
          <w:color w:val="000000"/>
          <w:sz w:val="32"/>
          <w:szCs w:val="32"/>
        </w:rPr>
        <w:t>对重庆市第七人民医院</w:t>
      </w:r>
      <w:r>
        <w:rPr>
          <w:rFonts w:hint="eastAsia" w:ascii="方正仿宋_GBK" w:hAnsi="方正仿宋_GBK" w:eastAsia="方正仿宋_GBK" w:cs="方正仿宋_GBK"/>
          <w:color w:val="000000"/>
          <w:sz w:val="32"/>
          <w:szCs w:val="32"/>
          <w:lang w:eastAsia="zh-CN"/>
        </w:rPr>
        <w:t>中联系统维护</w:t>
      </w:r>
      <w:r>
        <w:rPr>
          <w:rFonts w:hint="eastAsia" w:ascii="方正仿宋_GBK" w:hAnsi="方正仿宋_GBK" w:eastAsia="方正仿宋_GBK" w:cs="方正仿宋_GBK"/>
          <w:color w:val="000000"/>
          <w:sz w:val="32"/>
          <w:szCs w:val="32"/>
        </w:rPr>
        <w:t>进行单一来源采购，请供应商按照该项目的相关情况对项目进行报价。</w:t>
      </w:r>
    </w:p>
    <w:p>
      <w:pPr>
        <w:spacing w:line="440" w:lineRule="exact"/>
        <w:ind w:firstLine="643" w:firstLineChars="200"/>
        <w:rPr>
          <w:rFonts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供应商须知：</w:t>
      </w:r>
    </w:p>
    <w:p>
      <w:pPr>
        <w:spacing w:line="440" w:lineRule="exact"/>
        <w:ind w:firstLine="643"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一、议价时间和地点</w:t>
      </w:r>
    </w:p>
    <w:p>
      <w:pPr>
        <w:spacing w:line="440" w:lineRule="exact"/>
        <w:ind w:firstLine="800" w:firstLineChars="2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电话通知。</w:t>
      </w:r>
    </w:p>
    <w:p>
      <w:pPr>
        <w:spacing w:line="440" w:lineRule="exact"/>
        <w:ind w:firstLine="643"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二、报名资料获取方式</w:t>
      </w:r>
    </w:p>
    <w:p>
      <w:pPr>
        <w:snapToGrid w:val="0"/>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请供应商通过重庆市第七人民医院官网（www.cq7y.com）获取采购通知书（不提供现场发售）。</w:t>
      </w:r>
    </w:p>
    <w:p>
      <w:pPr>
        <w:snapToGrid w:val="0"/>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请供应商凭法定代表人身份证明书（含身份证复印件）、法定代表人授权委托书（含身份证复印件）、响应人廉洁承诺书及《重庆市第七人民医院议价报名表》（报名表格式见附件4）报名，报名全套资料加盖公章。</w:t>
      </w:r>
    </w:p>
    <w:p>
      <w:pPr>
        <w:snapToGrid w:val="0"/>
        <w:spacing w:line="44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报名资料请勿装入密封文件袋中！</w:t>
      </w:r>
      <w:bookmarkStart w:id="1" w:name="_GoBack"/>
      <w:bookmarkEnd w:id="1"/>
    </w:p>
    <w:p>
      <w:pPr>
        <w:numPr>
          <w:ilvl w:val="0"/>
          <w:numId w:val="1"/>
        </w:numPr>
        <w:spacing w:line="440" w:lineRule="exact"/>
        <w:ind w:firstLine="643" w:firstLineChars="200"/>
        <w:rPr>
          <w:rFonts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项目技术要求</w:t>
      </w:r>
    </w:p>
    <w:p>
      <w:pPr>
        <w:spacing w:line="44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（一）供应商必须严格按照技术方案要求投报与之要求相符或高于的服务，若其中任意一项不能满足，则视为无效报价。（该项目技术方案详见“附件2”）。</w:t>
      </w:r>
    </w:p>
    <w:p>
      <w:pPr>
        <w:spacing w:line="440" w:lineRule="exact"/>
        <w:ind w:firstLine="640" w:firstLineChars="200"/>
        <w:rPr>
          <w:rFonts w:ascii="方正仿宋_GBK" w:hAnsi="方正仿宋_GBK" w:eastAsia="方正仿宋_GBK" w:cs="方正仿宋_GBK"/>
          <w:b/>
          <w:bCs/>
          <w:color w:val="000000"/>
          <w:sz w:val="32"/>
          <w:szCs w:val="32"/>
        </w:rPr>
      </w:pPr>
      <w:r>
        <w:rPr>
          <w:rFonts w:hint="eastAsia" w:ascii="方正仿宋_GBK" w:hAnsi="方正仿宋_GBK" w:eastAsia="方正仿宋_GBK" w:cs="方正仿宋_GBK"/>
          <w:color w:val="000000"/>
          <w:sz w:val="32"/>
          <w:szCs w:val="32"/>
        </w:rPr>
        <w:t>（二）标准要求：供应商所投服务规格、型号等性能指标符合国家及本采购通知书提出的相关技术、质量、环保、安全标准。如达不到相关标准，采购人有权向成交供应商提出解除合同。</w:t>
      </w:r>
    </w:p>
    <w:p>
      <w:pPr>
        <w:spacing w:line="440" w:lineRule="exact"/>
        <w:ind w:firstLine="643" w:firstLineChars="200"/>
        <w:rPr>
          <w:rFonts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四、商务条款</w:t>
      </w:r>
    </w:p>
    <w:p>
      <w:pPr>
        <w:spacing w:line="440" w:lineRule="exact"/>
        <w:ind w:firstLine="420"/>
        <w:rPr>
          <w:rFonts w:ascii="方正仿宋_GBK" w:hAnsi="方正仿宋_GBK" w:eastAsia="方正仿宋_GBK" w:cs="方正仿宋_GBK"/>
          <w:b/>
          <w:kern w:val="0"/>
          <w:sz w:val="32"/>
          <w:szCs w:val="32"/>
        </w:rPr>
      </w:pPr>
      <w:r>
        <w:rPr>
          <w:rFonts w:hint="eastAsia" w:ascii="方正仿宋_GBK" w:hAnsi="方正仿宋_GBK" w:eastAsia="方正仿宋_GBK" w:cs="方正仿宋_GBK"/>
          <w:kern w:val="0"/>
          <w:sz w:val="32"/>
          <w:szCs w:val="32"/>
        </w:rPr>
        <w:t>（一</w:t>
      </w:r>
      <w:r>
        <w:rPr>
          <w:rFonts w:hint="eastAsia" w:ascii="方正仿宋_GBK" w:hAnsi="方正仿宋_GBK" w:eastAsia="方正仿宋_GBK" w:cs="方正仿宋_GBK"/>
          <w:b/>
          <w:kern w:val="0"/>
          <w:sz w:val="32"/>
          <w:szCs w:val="32"/>
        </w:rPr>
        <w:t>）最高限价及报价要求</w:t>
      </w:r>
    </w:p>
    <w:p>
      <w:pPr>
        <w:snapToGrid w:val="0"/>
        <w:spacing w:line="44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1.重庆市第七人民医院</w:t>
      </w:r>
      <w:r>
        <w:rPr>
          <w:rFonts w:hint="eastAsia" w:ascii="方正仿宋_GBK" w:hAnsi="方正仿宋_GBK" w:eastAsia="方正仿宋_GBK" w:cs="方正仿宋_GBK"/>
          <w:kern w:val="0"/>
          <w:sz w:val="32"/>
          <w:szCs w:val="32"/>
          <w:lang w:eastAsia="zh-CN"/>
        </w:rPr>
        <w:t>中联系统维护</w:t>
      </w:r>
      <w:r>
        <w:rPr>
          <w:rFonts w:hint="eastAsia" w:ascii="方正仿宋_GBK" w:hAnsi="方正仿宋_GBK" w:eastAsia="方正仿宋_GBK" w:cs="方正仿宋_GBK"/>
          <w:kern w:val="0"/>
          <w:sz w:val="32"/>
          <w:szCs w:val="32"/>
        </w:rPr>
        <w:t>项目最高限价</w:t>
      </w:r>
      <w:r>
        <w:rPr>
          <w:rFonts w:hint="eastAsia" w:ascii="方正仿宋_GBK" w:hAnsi="方正仿宋_GBK" w:eastAsia="方正仿宋_GBK" w:cs="方正仿宋_GBK"/>
          <w:kern w:val="0"/>
          <w:sz w:val="32"/>
          <w:szCs w:val="32"/>
          <w:lang w:val="en-US" w:eastAsia="zh-CN"/>
        </w:rPr>
        <w:t>70000</w:t>
      </w:r>
      <w:r>
        <w:rPr>
          <w:rFonts w:hint="eastAsia" w:ascii="方正仿宋_GBK" w:hAnsi="方正仿宋_GBK" w:eastAsia="方正仿宋_GBK" w:cs="方正仿宋_GBK"/>
          <w:kern w:val="0"/>
          <w:sz w:val="32"/>
          <w:szCs w:val="32"/>
        </w:rPr>
        <w:t>元（大写：</w:t>
      </w:r>
      <w:r>
        <w:rPr>
          <w:rFonts w:hint="eastAsia" w:ascii="方正仿宋_GBK" w:hAnsi="方正仿宋_GBK" w:eastAsia="方正仿宋_GBK" w:cs="方正仿宋_GBK"/>
          <w:kern w:val="0"/>
          <w:sz w:val="32"/>
          <w:szCs w:val="32"/>
          <w:lang w:val="en-US" w:eastAsia="zh-CN"/>
        </w:rPr>
        <w:t>柒</w:t>
      </w:r>
      <w:r>
        <w:rPr>
          <w:rFonts w:hint="eastAsia" w:ascii="方正仿宋_GBK" w:hAnsi="方正仿宋_GBK" w:eastAsia="方正仿宋_GBK" w:cs="方正仿宋_GBK"/>
          <w:kern w:val="0"/>
          <w:sz w:val="32"/>
          <w:szCs w:val="32"/>
        </w:rPr>
        <w:t>万元整）；</w:t>
      </w:r>
    </w:p>
    <w:p>
      <w:pPr>
        <w:snapToGrid w:val="0"/>
        <w:spacing w:line="44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2.本次报价须为人民币报价，包含：包含：产品基价、包装费、税费（含关税）、安装费、调试费、保修期内的售后服务费、系统接口费等一切与此项目有关的所有费用。</w:t>
      </w:r>
    </w:p>
    <w:p>
      <w:pPr>
        <w:snapToGrid w:val="0"/>
        <w:spacing w:line="440" w:lineRule="exact"/>
        <w:ind w:firstLine="643" w:firstLineChars="200"/>
        <w:rPr>
          <w:rFonts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（二）服务期</w:t>
      </w:r>
    </w:p>
    <w:p>
      <w:pPr>
        <w:snapToGrid w:val="0"/>
        <w:spacing w:line="44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成交人自合同签订之日起，服务期限一年。</w:t>
      </w:r>
    </w:p>
    <w:p>
      <w:pPr>
        <w:numPr>
          <w:ilvl w:val="0"/>
          <w:numId w:val="2"/>
        </w:numPr>
        <w:spacing w:line="440" w:lineRule="exact"/>
        <w:ind w:firstLine="643" w:firstLineChars="200"/>
        <w:rPr>
          <w:rFonts w:hint="eastAsia" w:ascii="方正仿宋_GBK" w:hAnsi="方正仿宋_GBK" w:eastAsia="方正仿宋_GBK" w:cs="方正仿宋_GBK"/>
          <w:b/>
          <w:kern w:val="0"/>
          <w:sz w:val="32"/>
          <w:szCs w:val="32"/>
          <w:lang w:val="en-US" w:eastAsia="zh-CN"/>
        </w:rPr>
      </w:pPr>
      <w:r>
        <w:rPr>
          <w:rFonts w:hint="eastAsia" w:ascii="方正仿宋_GBK" w:hAnsi="方正仿宋_GBK" w:eastAsia="方正仿宋_GBK" w:cs="方正仿宋_GBK"/>
          <w:b/>
          <w:kern w:val="0"/>
          <w:sz w:val="32"/>
          <w:szCs w:val="32"/>
          <w:lang w:val="en-US" w:eastAsia="zh-CN"/>
        </w:rPr>
        <w:t>实施地点</w:t>
      </w:r>
    </w:p>
    <w:p>
      <w:pPr>
        <w:pStyle w:val="2"/>
        <w:ind w:left="0" w:leftChars="0" w:firstLine="640" w:firstLineChars="20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重庆市第七人民医院</w:t>
      </w:r>
    </w:p>
    <w:p>
      <w:pPr>
        <w:numPr>
          <w:ilvl w:val="0"/>
          <w:numId w:val="2"/>
        </w:numPr>
        <w:spacing w:line="440" w:lineRule="exact"/>
        <w:ind w:firstLine="643" w:firstLineChars="200"/>
        <w:rPr>
          <w:rFonts w:hint="eastAsia" w:ascii="方正仿宋_GBK" w:hAnsi="方正仿宋_GBK" w:eastAsia="方正仿宋_GBK" w:cs="方正仿宋_GBK"/>
          <w:b/>
          <w:kern w:val="0"/>
          <w:sz w:val="32"/>
          <w:szCs w:val="32"/>
          <w:lang w:val="en-US" w:eastAsia="zh-CN"/>
        </w:rPr>
      </w:pPr>
      <w:r>
        <w:rPr>
          <w:rFonts w:hint="eastAsia" w:ascii="方正仿宋_GBK" w:hAnsi="方正仿宋_GBK" w:eastAsia="方正仿宋_GBK" w:cs="方正仿宋_GBK"/>
          <w:b/>
          <w:kern w:val="0"/>
          <w:sz w:val="32"/>
          <w:szCs w:val="32"/>
          <w:lang w:val="en-US" w:eastAsia="zh-CN"/>
        </w:rPr>
        <w:t>质保要求</w:t>
      </w:r>
    </w:p>
    <w:p>
      <w:pPr>
        <w:snapToGrid w:val="0"/>
        <w:spacing w:line="440" w:lineRule="exact"/>
        <w:ind w:firstLine="640" w:firstLineChars="2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val="en-US" w:eastAsia="zh-CN"/>
        </w:rPr>
        <w:t>1.</w:t>
      </w:r>
      <w:r>
        <w:rPr>
          <w:rFonts w:hint="eastAsia" w:ascii="方正仿宋_GBK" w:hAnsi="方正仿宋_GBK" w:eastAsia="方正仿宋_GBK" w:cs="方正仿宋_GBK"/>
          <w:kern w:val="0"/>
          <w:sz w:val="32"/>
          <w:szCs w:val="32"/>
          <w:lang w:eastAsia="zh-CN"/>
        </w:rPr>
        <w:t>软件故障现场处理 如果通过服务热线或远程维护不能解决的问题，中标人应在接到故障信息后根据问题紧急程度分级现场处理。</w:t>
      </w:r>
    </w:p>
    <w:p>
      <w:pPr>
        <w:snapToGrid w:val="0"/>
        <w:spacing w:line="440" w:lineRule="exact"/>
        <w:ind w:firstLine="640" w:firstLineChars="2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上门服务响应时间：7*12小时（9:00~21:00）</w:t>
      </w:r>
      <w:r>
        <w:rPr>
          <w:rFonts w:hint="eastAsia" w:ascii="方正仿宋_GBK" w:hAnsi="方正仿宋_GBK" w:eastAsia="方正仿宋_GBK" w:cs="方正仿宋_GBK"/>
          <w:kern w:val="0"/>
          <w:sz w:val="32"/>
          <w:szCs w:val="32"/>
          <w:lang w:eastAsia="zh-CN"/>
        </w:rPr>
        <w:tab/>
      </w:r>
    </w:p>
    <w:p>
      <w:pPr>
        <w:snapToGrid w:val="0"/>
        <w:spacing w:line="440" w:lineRule="exact"/>
        <w:ind w:firstLine="640" w:firstLineChars="2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一级问题：系统灾难故障——全院系统瘫痪，医院业务不能开展，立即响应，最迟2小时内出发。</w:t>
      </w:r>
    </w:p>
    <w:p>
      <w:pPr>
        <w:snapToGrid w:val="0"/>
        <w:spacing w:line="440" w:lineRule="exact"/>
        <w:ind w:firstLine="640" w:firstLineChars="2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二级问题：系统严重故障——所有窗口部门（指挂号处、药房、收费室、结帐处）ZLHIS系统不能进行基本业务操作，最迟6小时内出发。</w:t>
      </w:r>
    </w:p>
    <w:p>
      <w:pPr>
        <w:snapToGrid w:val="0"/>
        <w:spacing w:line="440" w:lineRule="exact"/>
        <w:ind w:firstLine="640" w:firstLineChars="2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三级问题：系统一般错误类故障——重要窗口部门能够维持工作，其他非窗口部门错误类故障，如：数据查错、调整，报表修改等，服务工程师最迟3个工作日内出发或与用户协商确定时间。</w:t>
      </w:r>
    </w:p>
    <w:p>
      <w:pPr>
        <w:snapToGrid w:val="0"/>
        <w:spacing w:line="440" w:lineRule="exact"/>
        <w:ind w:firstLine="640" w:firstLineChars="2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四级问题：系统一般需求类故障——重要窗口部门能够维持工作，其他非窗口部门需求类服务请求，如：一般性的参数调整、工作站安装HIS程序、指导HIS系统操作方法，服务工程师最迟七个工作日内出发或与用户协商确定时间。</w:t>
      </w:r>
    </w:p>
    <w:p>
      <w:pPr>
        <w:snapToGrid w:val="0"/>
        <w:spacing w:line="440" w:lineRule="exact"/>
        <w:ind w:firstLine="640" w:firstLineChars="2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lang w:eastAsia="zh-CN"/>
        </w:rPr>
        <w:t>QQ服务群及售后网站：包括中标人项目经理、所有工程师和售后服务人员，相关厂家技术人员，共同为院方提供优质及时的在线服务。</w:t>
      </w:r>
    </w:p>
    <w:p>
      <w:pPr>
        <w:snapToGrid w:val="0"/>
        <w:spacing w:line="440" w:lineRule="exact"/>
        <w:ind w:firstLine="640" w:firstLineChars="200"/>
        <w:rPr>
          <w:rFonts w:hint="eastAsia" w:ascii="方正仿宋_GBK" w:hAnsi="方正仿宋_GBK" w:eastAsia="方正仿宋_GBK" w:cs="方正仿宋_GBK"/>
          <w:b/>
          <w:kern w:val="0"/>
          <w:sz w:val="32"/>
          <w:szCs w:val="32"/>
          <w:lang w:eastAsia="zh-CN"/>
        </w:rPr>
      </w:pPr>
      <w:r>
        <w:rPr>
          <w:rFonts w:hint="eastAsia" w:ascii="方正仿宋_GBK" w:hAnsi="方正仿宋_GBK" w:eastAsia="方正仿宋_GBK" w:cs="方正仿宋_GBK"/>
          <w:kern w:val="0"/>
          <w:sz w:val="32"/>
          <w:szCs w:val="32"/>
          <w:lang w:val="en-US" w:eastAsia="zh-CN"/>
        </w:rPr>
        <w:t>3.</w:t>
      </w:r>
      <w:r>
        <w:rPr>
          <w:rFonts w:hint="eastAsia" w:ascii="方正仿宋_GBK" w:hAnsi="方正仿宋_GBK" w:eastAsia="方正仿宋_GBK" w:cs="方正仿宋_GBK"/>
          <w:kern w:val="0"/>
          <w:sz w:val="32"/>
          <w:szCs w:val="32"/>
          <w:lang w:eastAsia="zh-CN"/>
        </w:rPr>
        <w:t>远程在线诊断和故障排除：支持通过远程对出现的故障进行诊断、分析、解决。</w:t>
      </w:r>
    </w:p>
    <w:p>
      <w:pPr>
        <w:numPr>
          <w:ilvl w:val="0"/>
          <w:numId w:val="0"/>
        </w:numPr>
        <w:spacing w:line="440" w:lineRule="exact"/>
        <w:ind w:firstLine="643" w:firstLineChars="200"/>
        <w:rPr>
          <w:rFonts w:ascii="方正仿宋_GBK" w:hAnsi="方正仿宋_GBK" w:eastAsia="方正仿宋_GBK" w:cs="方正仿宋_GBK"/>
          <w:b/>
          <w:kern w:val="0"/>
          <w:sz w:val="32"/>
          <w:szCs w:val="32"/>
        </w:rPr>
      </w:pPr>
      <w:r>
        <w:rPr>
          <w:rFonts w:hint="eastAsia" w:ascii="方正仿宋_GBK" w:hAnsi="方正仿宋_GBK" w:eastAsia="方正仿宋_GBK" w:cs="方正仿宋_GBK"/>
          <w:b/>
          <w:kern w:val="0"/>
          <w:sz w:val="32"/>
          <w:szCs w:val="32"/>
          <w:lang w:eastAsia="zh-CN"/>
        </w:rPr>
        <w:t>（</w:t>
      </w:r>
      <w:r>
        <w:rPr>
          <w:rFonts w:hint="eastAsia" w:ascii="方正仿宋_GBK" w:hAnsi="方正仿宋_GBK" w:eastAsia="方正仿宋_GBK" w:cs="方正仿宋_GBK"/>
          <w:b/>
          <w:kern w:val="0"/>
          <w:sz w:val="32"/>
          <w:szCs w:val="32"/>
          <w:lang w:val="en-US" w:eastAsia="zh-CN"/>
        </w:rPr>
        <w:t>四</w:t>
      </w:r>
      <w:r>
        <w:rPr>
          <w:rFonts w:hint="eastAsia" w:ascii="方正仿宋_GBK" w:hAnsi="方正仿宋_GBK" w:eastAsia="方正仿宋_GBK" w:cs="方正仿宋_GBK"/>
          <w:b/>
          <w:kern w:val="0"/>
          <w:sz w:val="32"/>
          <w:szCs w:val="32"/>
          <w:lang w:eastAsia="zh-CN"/>
        </w:rPr>
        <w:t>）</w:t>
      </w:r>
      <w:r>
        <w:rPr>
          <w:rFonts w:hint="eastAsia" w:ascii="方正仿宋_GBK" w:hAnsi="方正仿宋_GBK" w:eastAsia="方正仿宋_GBK" w:cs="方正仿宋_GBK"/>
          <w:b/>
          <w:kern w:val="0"/>
          <w:sz w:val="32"/>
          <w:szCs w:val="32"/>
        </w:rPr>
        <w:t>付款方式</w:t>
      </w:r>
    </w:p>
    <w:p>
      <w:pPr>
        <w:snapToGrid w:val="0"/>
        <w:spacing w:line="44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维护期结束后的5个工作日内一次性支付。</w:t>
      </w:r>
    </w:p>
    <w:p>
      <w:pPr>
        <w:spacing w:line="440" w:lineRule="exact"/>
        <w:ind w:firstLine="482"/>
        <w:rPr>
          <w:rFonts w:ascii="方正仿宋_GBK" w:hAnsi="方正仿宋_GBK" w:eastAsia="方正仿宋_GBK" w:cs="方正仿宋_GBK"/>
          <w:b/>
          <w:kern w:val="0"/>
          <w:sz w:val="32"/>
          <w:szCs w:val="32"/>
        </w:rPr>
      </w:pPr>
      <w:r>
        <w:rPr>
          <w:rFonts w:hint="eastAsia" w:ascii="方正仿宋_GBK" w:hAnsi="方正仿宋_GBK" w:eastAsia="方正仿宋_GBK" w:cs="方正仿宋_GBK"/>
          <w:b/>
          <w:kern w:val="0"/>
          <w:sz w:val="32"/>
          <w:szCs w:val="32"/>
        </w:rPr>
        <w:t>（</w:t>
      </w:r>
      <w:r>
        <w:rPr>
          <w:rFonts w:hint="eastAsia" w:ascii="方正仿宋_GBK" w:hAnsi="方正仿宋_GBK" w:eastAsia="方正仿宋_GBK" w:cs="方正仿宋_GBK"/>
          <w:b/>
          <w:kern w:val="0"/>
          <w:sz w:val="32"/>
          <w:szCs w:val="32"/>
          <w:lang w:val="en-US" w:eastAsia="zh-CN"/>
        </w:rPr>
        <w:t>五</w:t>
      </w:r>
      <w:r>
        <w:rPr>
          <w:rFonts w:hint="eastAsia" w:ascii="方正仿宋_GBK" w:hAnsi="方正仿宋_GBK" w:eastAsia="方正仿宋_GBK" w:cs="方正仿宋_GBK"/>
          <w:b/>
          <w:kern w:val="0"/>
          <w:sz w:val="32"/>
          <w:szCs w:val="32"/>
        </w:rPr>
        <w:t>）知识产权</w:t>
      </w:r>
    </w:p>
    <w:p>
      <w:pPr>
        <w:snapToGrid w:val="0"/>
        <w:spacing w:line="440" w:lineRule="exact"/>
        <w:ind w:firstLine="640" w:firstLineChars="200"/>
        <w:rPr>
          <w:rFonts w:ascii="方正仿宋_GBK" w:hAnsi="方正仿宋_GBK" w:eastAsia="方正仿宋_GBK" w:cs="方正仿宋_GBK"/>
          <w:bCs/>
          <w:kern w:val="0"/>
          <w:sz w:val="32"/>
          <w:szCs w:val="32"/>
        </w:rPr>
      </w:pPr>
      <w:r>
        <w:rPr>
          <w:rFonts w:hint="eastAsia" w:ascii="方正仿宋_GBK" w:hAnsi="方正仿宋_GBK" w:eastAsia="方正仿宋_GBK" w:cs="方正仿宋_GBK"/>
          <w:kern w:val="0"/>
          <w:sz w:val="32"/>
          <w:szCs w:val="32"/>
        </w:rPr>
        <w:t>采购人在中华人民共和国境内使用响应供应商提供的货物及服务时免受第三方提出的侵犯其专利权或其它知识产权的起诉。如果第三方提出侵权指控，成交供应商应承担由此而引起的一切法律责任和费用。</w:t>
      </w:r>
    </w:p>
    <w:p>
      <w:pPr>
        <w:spacing w:line="440" w:lineRule="exact"/>
        <w:ind w:firstLine="482"/>
        <w:rPr>
          <w:rFonts w:ascii="方正仿宋_GBK" w:hAnsi="方正仿宋_GBK" w:eastAsia="方正仿宋_GBK" w:cs="方正仿宋_GBK"/>
          <w:b/>
          <w:kern w:val="0"/>
          <w:sz w:val="32"/>
          <w:szCs w:val="32"/>
        </w:rPr>
      </w:pPr>
      <w:r>
        <w:rPr>
          <w:rFonts w:hint="eastAsia" w:ascii="方正仿宋_GBK" w:hAnsi="方正仿宋_GBK" w:eastAsia="方正仿宋_GBK" w:cs="方正仿宋_GBK"/>
          <w:b/>
          <w:kern w:val="0"/>
          <w:sz w:val="32"/>
          <w:szCs w:val="32"/>
        </w:rPr>
        <w:t>（</w:t>
      </w:r>
      <w:r>
        <w:rPr>
          <w:rFonts w:hint="eastAsia" w:ascii="方正仿宋_GBK" w:hAnsi="方正仿宋_GBK" w:eastAsia="方正仿宋_GBK" w:cs="方正仿宋_GBK"/>
          <w:b/>
          <w:kern w:val="0"/>
          <w:sz w:val="32"/>
          <w:szCs w:val="32"/>
          <w:lang w:val="en-US" w:eastAsia="zh-CN"/>
        </w:rPr>
        <w:t>六</w:t>
      </w:r>
      <w:r>
        <w:rPr>
          <w:rFonts w:hint="eastAsia" w:ascii="方正仿宋_GBK" w:hAnsi="方正仿宋_GBK" w:eastAsia="方正仿宋_GBK" w:cs="方正仿宋_GBK"/>
          <w:b/>
          <w:kern w:val="0"/>
          <w:sz w:val="32"/>
          <w:szCs w:val="32"/>
        </w:rPr>
        <w:t>）其他</w:t>
      </w:r>
    </w:p>
    <w:p>
      <w:pPr>
        <w:snapToGrid w:val="0"/>
        <w:spacing w:line="44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1.响应供应商必须在响应文件中对以上条款和服务承诺明确列出，承诺内容必须达到本篇及采购文件其他条款的要求。</w:t>
      </w:r>
    </w:p>
    <w:p>
      <w:pPr>
        <w:snapToGrid w:val="0"/>
        <w:spacing w:line="44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2.其他未尽事宜由供需双方在采购合同中详细约定。</w:t>
      </w:r>
    </w:p>
    <w:p>
      <w:pPr>
        <w:spacing w:line="440" w:lineRule="exact"/>
        <w:ind w:firstLine="643" w:firstLineChars="200"/>
        <w:rPr>
          <w:rFonts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五、响应文件制作要求</w:t>
      </w:r>
    </w:p>
    <w:p>
      <w:pPr>
        <w:snapToGrid w:val="0"/>
        <w:spacing w:line="44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响应人提供的所有资料无论成交与否，均不予退还。本报价表中要求的所有资料，响应人必须保证真实性、准确性，并加盖公章或骑缝章。若响应人有弄虚作假、串通报价和欺骗行为，一经查实，由此而产生的经济损失、经济责任和一切后果由响应人承担，并按政府采购法的有关规定进行严肃处理。</w:t>
      </w:r>
    </w:p>
    <w:p>
      <w:pPr>
        <w:snapToGrid w:val="0"/>
        <w:spacing w:line="44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响应文件由</w:t>
      </w:r>
      <w:r>
        <w:rPr>
          <w:rFonts w:hint="eastAsia" w:ascii="方正仿宋_GBK" w:hAnsi="方正仿宋_GBK" w:eastAsia="方正仿宋_GBK" w:cs="方正仿宋_GBK"/>
          <w:b/>
          <w:bCs/>
          <w:kern w:val="0"/>
          <w:sz w:val="32"/>
          <w:szCs w:val="32"/>
        </w:rPr>
        <w:t>资质文件、技术文件和报价表</w:t>
      </w:r>
      <w:r>
        <w:rPr>
          <w:rFonts w:hint="eastAsia" w:ascii="方正仿宋_GBK" w:hAnsi="方正仿宋_GBK" w:eastAsia="方正仿宋_GBK" w:cs="方正仿宋_GBK"/>
          <w:kern w:val="0"/>
          <w:sz w:val="32"/>
          <w:szCs w:val="32"/>
        </w:rPr>
        <w:t>组成，各类文件按A4纸规格密封合并装订成一本并编制页码。响应文件</w:t>
      </w:r>
      <w:r>
        <w:rPr>
          <w:rFonts w:hint="eastAsia" w:ascii="方正仿宋_GBK" w:hAnsi="方正仿宋_GBK" w:eastAsia="方正仿宋_GBK" w:cs="方正仿宋_GBK"/>
          <w:b/>
          <w:bCs/>
          <w:kern w:val="0"/>
          <w:sz w:val="32"/>
          <w:szCs w:val="32"/>
        </w:rPr>
        <w:t>一式贰份，其中正本一份，副本一份。</w:t>
      </w:r>
      <w:r>
        <w:rPr>
          <w:rFonts w:hint="eastAsia" w:ascii="方正仿宋_GBK" w:hAnsi="方正仿宋_GBK" w:eastAsia="方正仿宋_GBK" w:cs="方正仿宋_GBK"/>
          <w:kern w:val="0"/>
          <w:sz w:val="32"/>
          <w:szCs w:val="32"/>
        </w:rPr>
        <w:t>副本可为正本的复印件，必须与正本一致，如出现不一致情况以正本为准。</w:t>
      </w:r>
      <w:r>
        <w:rPr>
          <w:rFonts w:hint="eastAsia" w:ascii="方正仿宋_GBK" w:hAnsi="方正仿宋_GBK" w:eastAsia="方正仿宋_GBK" w:cs="方正仿宋_GBK"/>
          <w:b/>
          <w:bCs/>
          <w:kern w:val="0"/>
          <w:sz w:val="32"/>
          <w:szCs w:val="32"/>
        </w:rPr>
        <w:t>响应文件的正本、副本均应用信封分别密封。信封上注明项目名称、项目编号、供应商名称、“正本”、“副本”字样及“不准提前启封”字样。信封的封口须加盖响应人公章或授权代表签字</w:t>
      </w:r>
      <w:r>
        <w:rPr>
          <w:rFonts w:hint="eastAsia" w:ascii="方正仿宋_GBK" w:hAnsi="方正仿宋_GBK" w:eastAsia="方正仿宋_GBK" w:cs="方正仿宋_GBK"/>
          <w:kern w:val="0"/>
          <w:sz w:val="32"/>
          <w:szCs w:val="32"/>
        </w:rPr>
        <w:t>。拒绝接收未按规定制作和密封的响应文件。响应文件制作要求如下：</w:t>
      </w:r>
    </w:p>
    <w:p>
      <w:pPr>
        <w:numPr>
          <w:ilvl w:val="0"/>
          <w:numId w:val="3"/>
        </w:numPr>
        <w:spacing w:line="44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资质文件内容要求</w:t>
      </w:r>
    </w:p>
    <w:p>
      <w:pPr>
        <w:spacing w:line="44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1.一般资质文件内容要求</w:t>
      </w:r>
    </w:p>
    <w:p>
      <w:pPr>
        <w:spacing w:line="44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（1）具有独立承担民事责任的能力；</w:t>
      </w:r>
    </w:p>
    <w:p>
      <w:pPr>
        <w:spacing w:line="44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（2）具有良好的商业信誉和健全的财务会计制度；</w:t>
      </w:r>
    </w:p>
    <w:p>
      <w:pPr>
        <w:spacing w:line="44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（3）具有履行合同所必需的设备和专业技术能力；</w:t>
      </w:r>
    </w:p>
    <w:p>
      <w:pPr>
        <w:spacing w:line="44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（4）有依法缴纳税收和社会保障资金的良好记录；</w:t>
      </w:r>
    </w:p>
    <w:p>
      <w:pPr>
        <w:spacing w:line="44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（5）参加政府采购活动前三年内，在经营活动中没有重大违法记录。</w:t>
      </w:r>
    </w:p>
    <w:p>
      <w:pPr>
        <w:spacing w:line="440" w:lineRule="exact"/>
        <w:ind w:firstLine="640" w:firstLineChars="200"/>
      </w:pPr>
      <w:r>
        <w:rPr>
          <w:rFonts w:hint="eastAsia" w:ascii="方正仿宋_GBK" w:hAnsi="方正仿宋_GBK" w:eastAsia="方正仿宋_GBK" w:cs="方正仿宋_GBK"/>
          <w:color w:val="000000"/>
          <w:sz w:val="32"/>
          <w:szCs w:val="32"/>
        </w:rPr>
        <w:t>上述2-5项检查内容：响应人提供诚信声明（格式附后）</w:t>
      </w:r>
      <w:r>
        <w:rPr>
          <w:rFonts w:hint="eastAsia" w:ascii="方正仿宋_GBK" w:hAnsi="方正仿宋_GBK" w:eastAsia="方正仿宋_GBK" w:cs="方正仿宋_GBK"/>
          <w:sz w:val="32"/>
          <w:szCs w:val="32"/>
        </w:rPr>
        <w:t>。</w:t>
      </w:r>
    </w:p>
    <w:p>
      <w:pPr>
        <w:spacing w:line="44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2.特殊资格条件内容要求 </w:t>
      </w:r>
    </w:p>
    <w:p>
      <w:pPr>
        <w:spacing w:line="44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目前我医院在用的HIS、LIS、PACS等核心信息系统均采用的是中联公司软件，为保障医院系统更好的运行，各科室有效应的工作，更好推进医院系统建设，整合资源，提高工作效率，且考虑到该系统需要很强的专业性，只能由承建商提供专业技术支持和服务才能保证软件系统的完整性和及时性，避免产生数丢失、泄露等风险。同时，由承建商进行维保服务能实现各方面的无缝对接，保证售后服务的统一性、延续性和配套性。故本次维护服务从重庆中联信息产业有限责任公司处单一来源采购。</w:t>
      </w:r>
    </w:p>
    <w:p>
      <w:pPr>
        <w:snapToGrid w:val="0"/>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（二）技术文件内容要求</w:t>
      </w:r>
    </w:p>
    <w:p>
      <w:pPr>
        <w:snapToGrid w:val="0"/>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1.所投服务技术性能、技术指标介绍；</w:t>
      </w:r>
    </w:p>
    <w:p>
      <w:pPr>
        <w:snapToGrid w:val="0"/>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2.所投服务与采购货物技术参数差异表(应对技术参数中的所有条款进行逐一应答，还需在“响应文件对应页码”栏内写明技术支持文件的页码)；</w:t>
      </w:r>
    </w:p>
    <w:p>
      <w:pPr>
        <w:snapToGrid w:val="0"/>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3.技术方案中要求的其他资料。</w:t>
      </w:r>
    </w:p>
    <w:p>
      <w:pPr>
        <w:pStyle w:val="9"/>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（三）报价表填写要求</w:t>
      </w:r>
    </w:p>
    <w:p>
      <w:pPr>
        <w:pStyle w:val="9"/>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报价一览表（详见“附件1”）</w:t>
      </w:r>
    </w:p>
    <w:p>
      <w:pPr>
        <w:pStyle w:val="9"/>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供应商在不超出经营范围且符合资质的情况下，对采购设备进行报价。报价要求为：</w:t>
      </w:r>
    </w:p>
    <w:p>
      <w:pPr>
        <w:pStyle w:val="9"/>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1.对项目的报价应填报《报价一览表》 (按照附件格式填写)。</w:t>
      </w:r>
    </w:p>
    <w:p>
      <w:pPr>
        <w:pStyle w:val="9"/>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2.本次报价数量以单一来源采购通知书提供的计算，供应商一次性报出不得更改的唯一价格。</w:t>
      </w:r>
    </w:p>
    <w:p>
      <w:pPr>
        <w:pStyle w:val="9"/>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3.本项目成交价为包干价。采购人只支付成交的费用，如发生其它费用一律由成交供应商自理。</w:t>
      </w:r>
    </w:p>
    <w:p>
      <w:pPr>
        <w:pStyle w:val="9"/>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报价表应由法人授权代表人签字并加盖单位公章，未签字或未加盖公章的，视为无效。报价表按“附件1”格式填写密封后递交，若大写与小写金额不一致，以大写金额为准; 总价金额与按单价汇总金额不一致的，以单价金额计算结果为准。</w:t>
      </w:r>
    </w:p>
    <w:p>
      <w:pPr>
        <w:numPr>
          <w:ilvl w:val="0"/>
          <w:numId w:val="4"/>
        </w:numPr>
        <w:spacing w:line="440" w:lineRule="exact"/>
        <w:ind w:firstLine="643" w:firstLineChars="200"/>
        <w:rPr>
          <w:rFonts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无效报价情形</w:t>
      </w:r>
    </w:p>
    <w:p>
      <w:pPr>
        <w:pStyle w:val="9"/>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（一）资质审查不合格的（即供应商提交的资质文件不符合采购通知书资质文件内容要求的）；</w:t>
      </w:r>
    </w:p>
    <w:p>
      <w:pPr>
        <w:pStyle w:val="9"/>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（二）供应商超出营业范围议价的；</w:t>
      </w:r>
    </w:p>
    <w:p>
      <w:pPr>
        <w:pStyle w:val="9"/>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（三）响应文件未密封的；</w:t>
      </w:r>
    </w:p>
    <w:p>
      <w:pPr>
        <w:pStyle w:val="9"/>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（四）响应文件逾期送达的；</w:t>
      </w:r>
    </w:p>
    <w:p>
      <w:pPr>
        <w:pStyle w:val="9"/>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（五）响应文件与采购通知书实质性要求有严重背离的；</w:t>
      </w:r>
    </w:p>
    <w:p>
      <w:pPr>
        <w:pStyle w:val="9"/>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（六）没有按照通知书要求由供应商法定代表人或授权代表签字并加盖公章的；</w:t>
      </w:r>
    </w:p>
    <w:p>
      <w:pPr>
        <w:pStyle w:val="9"/>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（七）报价超过最高限价的；</w:t>
      </w:r>
    </w:p>
    <w:p>
      <w:pPr>
        <w:pStyle w:val="9"/>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（八）响应文件未按规定格式和要求填写，内容不全或字迹模糊，辨认不清而影响评标定标的；</w:t>
      </w:r>
    </w:p>
    <w:p>
      <w:pPr>
        <w:pStyle w:val="9"/>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（九）未完全响应本采购通知书技术方案及商务条款的；</w:t>
      </w:r>
    </w:p>
    <w:p>
      <w:pPr>
        <w:pStyle w:val="9"/>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（十）响应文件出现多个投报方案或报价的；</w:t>
      </w:r>
    </w:p>
    <w:p>
      <w:pPr>
        <w:pStyle w:val="9"/>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（十一）响应文件附有采购人不能接受的条件。</w:t>
      </w:r>
    </w:p>
    <w:p>
      <w:pPr>
        <w:spacing w:line="440" w:lineRule="exact"/>
        <w:ind w:firstLine="643" w:firstLineChars="200"/>
        <w:rPr>
          <w:rFonts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七、成交办法</w:t>
      </w:r>
    </w:p>
    <w:p>
      <w:pPr>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在不超过最高限价且双方都能接受的价位下确定成交。</w:t>
      </w:r>
    </w:p>
    <w:p>
      <w:pPr>
        <w:spacing w:line="440" w:lineRule="exact"/>
        <w:ind w:firstLine="643"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八、签订采购合同</w:t>
      </w:r>
    </w:p>
    <w:p>
      <w:pPr>
        <w:spacing w:line="44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成交供应商应</w:t>
      </w:r>
      <w:r>
        <w:rPr>
          <w:rFonts w:hint="eastAsia" w:ascii="方正仿宋_GBK" w:hAnsi="方正仿宋_GBK" w:eastAsia="方正仿宋_GBK" w:cs="方正仿宋_GBK"/>
          <w:b/>
          <w:bCs/>
          <w:color w:val="000000"/>
          <w:sz w:val="32"/>
          <w:szCs w:val="32"/>
        </w:rPr>
        <w:t>在公示期后3个工作日内领取成交通知书，在领取成交通知书后10个工作日内，按照采购通知书和其提交的响应文件与采购人签订采购合同</w:t>
      </w:r>
      <w:r>
        <w:rPr>
          <w:rFonts w:hint="eastAsia" w:ascii="方正仿宋_GBK" w:hAnsi="方正仿宋_GBK" w:eastAsia="方正仿宋_GBK" w:cs="方正仿宋_GBK"/>
          <w:color w:val="000000"/>
          <w:sz w:val="32"/>
          <w:szCs w:val="32"/>
        </w:rPr>
        <w:t>。成交供应商</w:t>
      </w:r>
      <w:r>
        <w:rPr>
          <w:rFonts w:hint="eastAsia" w:ascii="方正仿宋_GBK" w:hAnsi="方正仿宋_GBK" w:eastAsia="方正仿宋_GBK" w:cs="方正仿宋_GBK"/>
          <w:b/>
          <w:bCs/>
          <w:color w:val="000000"/>
          <w:sz w:val="32"/>
          <w:szCs w:val="32"/>
        </w:rPr>
        <w:t>逾期或拒绝领取成交通知书或者不按成交状态签订合同</w:t>
      </w:r>
      <w:r>
        <w:rPr>
          <w:rFonts w:hint="eastAsia" w:ascii="方正仿宋_GBK" w:hAnsi="方正仿宋_GBK" w:eastAsia="方正仿宋_GBK" w:cs="方正仿宋_GBK"/>
          <w:color w:val="000000"/>
          <w:sz w:val="32"/>
          <w:szCs w:val="32"/>
        </w:rPr>
        <w:t>的，</w:t>
      </w:r>
      <w:r>
        <w:rPr>
          <w:rFonts w:hint="eastAsia" w:ascii="方正仿宋_GBK" w:hAnsi="方正仿宋_GBK" w:eastAsia="方正仿宋_GBK" w:cs="方正仿宋_GBK"/>
          <w:b/>
          <w:bCs/>
          <w:color w:val="000000"/>
          <w:sz w:val="32"/>
          <w:szCs w:val="32"/>
        </w:rPr>
        <w:t>视为自动放弃，并应承担相应责任</w:t>
      </w:r>
      <w:r>
        <w:rPr>
          <w:rFonts w:hint="eastAsia" w:ascii="方正仿宋_GBK" w:hAnsi="方正仿宋_GBK" w:eastAsia="方正仿宋_GBK" w:cs="方正仿宋_GBK"/>
          <w:color w:val="000000"/>
          <w:sz w:val="32"/>
          <w:szCs w:val="32"/>
        </w:rPr>
        <w:t>。</w:t>
      </w:r>
    </w:p>
    <w:p>
      <w:pPr>
        <w:spacing w:line="440" w:lineRule="exact"/>
        <w:ind w:firstLine="643" w:firstLineChars="200"/>
        <w:rPr>
          <w:rFonts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九、履行合同</w:t>
      </w:r>
    </w:p>
    <w:p>
      <w:pPr>
        <w:spacing w:line="44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（一）在整个项目实施过程中所发生的所有费用由成交供应商负责。</w:t>
      </w:r>
    </w:p>
    <w:p>
      <w:pPr>
        <w:spacing w:line="44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（二）成交供应商按技术方案相关要求提供技术服务。</w:t>
      </w:r>
    </w:p>
    <w:p>
      <w:pPr>
        <w:pStyle w:val="19"/>
        <w:spacing w:line="440" w:lineRule="exact"/>
        <w:ind w:left="0" w:firstLine="627" w:firstLineChars="196"/>
        <w:jc w:val="left"/>
        <w:outlineLvl w:val="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（三）成交供应商应在合同签定后按合同要求实施。</w:t>
      </w:r>
    </w:p>
    <w:p>
      <w:pPr>
        <w:pStyle w:val="19"/>
        <w:spacing w:line="440" w:lineRule="exact"/>
        <w:ind w:left="0" w:firstLine="627" w:firstLineChars="196"/>
        <w:jc w:val="left"/>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（四）成交供应商应在合同签定后按采购人要求的时间和地点实施。</w:t>
      </w:r>
      <w:r>
        <w:rPr>
          <w:rFonts w:hint="eastAsia" w:ascii="方正仿宋_GBK" w:hAnsi="方正仿宋_GBK" w:eastAsia="方正仿宋_GBK" w:cs="方正仿宋_GBK"/>
          <w:sz w:val="32"/>
          <w:szCs w:val="32"/>
        </w:rPr>
        <w:t xml:space="preserve"> </w:t>
      </w:r>
    </w:p>
    <w:p>
      <w:pPr>
        <w:spacing w:line="44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十、资金结算办法</w:t>
      </w:r>
    </w:p>
    <w:p>
      <w:pPr>
        <w:spacing w:line="440" w:lineRule="exact"/>
        <w:ind w:firstLine="800" w:firstLineChars="2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按成交价格结算。</w:t>
      </w:r>
    </w:p>
    <w:p>
      <w:pPr>
        <w:pStyle w:val="9"/>
        <w:spacing w:line="440" w:lineRule="exact"/>
        <w:ind w:firstLine="320" w:firstLineChars="1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附件：1.响应文件格式目录</w:t>
      </w:r>
    </w:p>
    <w:p>
      <w:pPr>
        <w:pStyle w:val="9"/>
        <w:spacing w:line="440" w:lineRule="exact"/>
        <w:ind w:firstLine="1280" w:firstLineChars="4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2.技术方案</w:t>
      </w:r>
    </w:p>
    <w:p>
      <w:pPr>
        <w:pStyle w:val="9"/>
        <w:spacing w:line="440" w:lineRule="exact"/>
        <w:ind w:firstLine="1280" w:firstLineChars="4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3.合同范本</w:t>
      </w:r>
    </w:p>
    <w:p>
      <w:pPr>
        <w:pStyle w:val="9"/>
        <w:spacing w:line="440" w:lineRule="exact"/>
        <w:ind w:firstLine="1280" w:firstLineChars="4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4.议价报名表</w:t>
      </w:r>
    </w:p>
    <w:p>
      <w:pPr>
        <w:pStyle w:val="9"/>
        <w:spacing w:line="440" w:lineRule="exact"/>
        <w:ind w:firstLine="1280" w:firstLineChars="4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5.响应人廉洁承诺书</w:t>
      </w:r>
    </w:p>
    <w:p>
      <w:pPr>
        <w:pStyle w:val="9"/>
        <w:spacing w:line="44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pStyle w:val="9"/>
        <w:spacing w:line="440" w:lineRule="exact"/>
        <w:rPr>
          <w:rFonts w:hint="eastAsia" w:ascii="方正仿宋_GBK" w:hAnsi="方正仿宋_GBK" w:eastAsia="方正仿宋_GBK" w:cs="方正仿宋_GBK"/>
          <w:sz w:val="32"/>
          <w:szCs w:val="32"/>
        </w:rPr>
      </w:pPr>
    </w:p>
    <w:p>
      <w:pPr>
        <w:pStyle w:val="9"/>
        <w:spacing w:line="440" w:lineRule="exact"/>
        <w:rPr>
          <w:rFonts w:hint="eastAsia" w:ascii="方正仿宋_GBK" w:hAnsi="方正仿宋_GBK" w:eastAsia="方正仿宋_GBK" w:cs="方正仿宋_GBK"/>
          <w:sz w:val="32"/>
          <w:szCs w:val="32"/>
        </w:rPr>
      </w:pPr>
    </w:p>
    <w:p>
      <w:pPr>
        <w:pStyle w:val="9"/>
        <w:spacing w:line="440" w:lineRule="exact"/>
        <w:rPr>
          <w:rFonts w:hint="eastAsia" w:ascii="方正仿宋_GBK" w:hAnsi="方正仿宋_GBK" w:eastAsia="方正仿宋_GBK" w:cs="方正仿宋_GBK"/>
          <w:sz w:val="32"/>
          <w:szCs w:val="32"/>
        </w:rPr>
      </w:pPr>
    </w:p>
    <w:p>
      <w:pPr>
        <w:pStyle w:val="9"/>
        <w:spacing w:line="440" w:lineRule="exact"/>
        <w:rPr>
          <w:rFonts w:hint="eastAsia" w:ascii="方正仿宋_GBK" w:hAnsi="方正仿宋_GBK" w:eastAsia="方正仿宋_GBK" w:cs="方正仿宋_GBK"/>
          <w:sz w:val="32"/>
          <w:szCs w:val="32"/>
        </w:rPr>
      </w:pPr>
    </w:p>
    <w:p>
      <w:pPr>
        <w:pStyle w:val="9"/>
        <w:spacing w:line="440" w:lineRule="exact"/>
        <w:rPr>
          <w:rFonts w:hint="eastAsia" w:ascii="方正仿宋_GBK" w:hAnsi="方正仿宋_GBK" w:eastAsia="方正仿宋_GBK" w:cs="方正仿宋_GBK"/>
          <w:sz w:val="32"/>
          <w:szCs w:val="32"/>
        </w:rPr>
      </w:pPr>
    </w:p>
    <w:p>
      <w:pPr>
        <w:pStyle w:val="9"/>
        <w:spacing w:line="440" w:lineRule="exact"/>
        <w:rPr>
          <w:rFonts w:hint="eastAsia" w:ascii="方正仿宋_GBK" w:hAnsi="方正仿宋_GBK" w:eastAsia="方正仿宋_GBK" w:cs="方正仿宋_GBK"/>
          <w:sz w:val="32"/>
          <w:szCs w:val="32"/>
        </w:rPr>
      </w:pPr>
    </w:p>
    <w:p>
      <w:pPr>
        <w:pStyle w:val="9"/>
        <w:spacing w:line="440" w:lineRule="exact"/>
        <w:rPr>
          <w:rFonts w:hint="eastAsia" w:ascii="方正仿宋_GBK" w:hAnsi="方正仿宋_GBK" w:eastAsia="方正仿宋_GBK" w:cs="方正仿宋_GBK"/>
          <w:sz w:val="32"/>
          <w:szCs w:val="32"/>
        </w:rPr>
      </w:pPr>
    </w:p>
    <w:p>
      <w:pPr>
        <w:pStyle w:val="9"/>
        <w:spacing w:line="440" w:lineRule="exact"/>
        <w:rPr>
          <w:rFonts w:hint="eastAsia" w:ascii="方正仿宋_GBK" w:hAnsi="方正仿宋_GBK" w:eastAsia="方正仿宋_GBK" w:cs="方正仿宋_GBK"/>
          <w:sz w:val="32"/>
          <w:szCs w:val="32"/>
        </w:rPr>
      </w:pPr>
    </w:p>
    <w:p>
      <w:pPr>
        <w:pStyle w:val="9"/>
        <w:spacing w:line="440" w:lineRule="exact"/>
        <w:rPr>
          <w:rFonts w:hint="eastAsia" w:ascii="方正仿宋_GBK" w:hAnsi="方正仿宋_GBK" w:eastAsia="方正仿宋_GBK" w:cs="方正仿宋_GBK"/>
          <w:sz w:val="32"/>
          <w:szCs w:val="32"/>
        </w:rPr>
      </w:pPr>
    </w:p>
    <w:p>
      <w:pPr>
        <w:pStyle w:val="9"/>
        <w:spacing w:line="440" w:lineRule="exact"/>
        <w:rPr>
          <w:rFonts w:hint="eastAsia" w:ascii="方正仿宋_GBK" w:hAnsi="方正仿宋_GBK" w:eastAsia="方正仿宋_GBK" w:cs="方正仿宋_GBK"/>
          <w:sz w:val="32"/>
          <w:szCs w:val="32"/>
        </w:rPr>
      </w:pPr>
    </w:p>
    <w:p>
      <w:pPr>
        <w:pStyle w:val="9"/>
        <w:spacing w:line="440" w:lineRule="exact"/>
        <w:rPr>
          <w:rFonts w:hint="eastAsia" w:ascii="方正仿宋_GBK" w:hAnsi="方正仿宋_GBK" w:eastAsia="方正仿宋_GBK" w:cs="方正仿宋_GBK"/>
          <w:sz w:val="32"/>
          <w:szCs w:val="32"/>
        </w:rPr>
      </w:pPr>
    </w:p>
    <w:p>
      <w:pPr>
        <w:pStyle w:val="9"/>
        <w:spacing w:line="440" w:lineRule="exact"/>
        <w:rPr>
          <w:rFonts w:hint="eastAsia" w:ascii="方正仿宋_GBK" w:hAnsi="方正仿宋_GBK" w:eastAsia="方正仿宋_GBK" w:cs="方正仿宋_GBK"/>
          <w:sz w:val="32"/>
          <w:szCs w:val="32"/>
        </w:rPr>
      </w:pPr>
    </w:p>
    <w:p>
      <w:pPr>
        <w:pStyle w:val="9"/>
        <w:spacing w:line="440" w:lineRule="exact"/>
        <w:rPr>
          <w:rFonts w:hint="eastAsia" w:ascii="方正仿宋_GBK" w:hAnsi="方正仿宋_GBK" w:eastAsia="方正仿宋_GBK" w:cs="方正仿宋_GBK"/>
          <w:sz w:val="32"/>
          <w:szCs w:val="32"/>
        </w:rPr>
      </w:pPr>
    </w:p>
    <w:p>
      <w:pPr>
        <w:pStyle w:val="9"/>
        <w:spacing w:line="440" w:lineRule="exact"/>
        <w:rPr>
          <w:rFonts w:hint="eastAsia" w:ascii="方正仿宋_GBK" w:hAnsi="方正仿宋_GBK" w:eastAsia="方正仿宋_GBK" w:cs="方正仿宋_GBK"/>
          <w:sz w:val="32"/>
          <w:szCs w:val="32"/>
        </w:rPr>
      </w:pPr>
    </w:p>
    <w:p>
      <w:pPr>
        <w:pStyle w:val="9"/>
        <w:spacing w:line="440" w:lineRule="exact"/>
        <w:rPr>
          <w:rFonts w:hint="eastAsia" w:ascii="方正仿宋_GBK" w:hAnsi="方正仿宋_GBK" w:eastAsia="方正仿宋_GBK" w:cs="方正仿宋_GBK"/>
          <w:sz w:val="32"/>
          <w:szCs w:val="32"/>
        </w:rPr>
      </w:pPr>
    </w:p>
    <w:p>
      <w:pPr>
        <w:pStyle w:val="9"/>
        <w:spacing w:line="440" w:lineRule="exact"/>
        <w:rPr>
          <w:rFonts w:hint="eastAsia" w:ascii="方正仿宋_GBK" w:hAnsi="方正仿宋_GBK" w:eastAsia="方正仿宋_GBK" w:cs="方正仿宋_GBK"/>
          <w:sz w:val="32"/>
          <w:szCs w:val="32"/>
        </w:rPr>
      </w:pPr>
    </w:p>
    <w:p>
      <w:pPr>
        <w:pStyle w:val="9"/>
        <w:spacing w:line="440" w:lineRule="exact"/>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pStyle w:val="9"/>
        <w:spacing w:line="44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w:t>
      </w:r>
    </w:p>
    <w:p>
      <w:pPr>
        <w:snapToGrid w:val="0"/>
        <w:spacing w:line="500" w:lineRule="exact"/>
        <w:ind w:firstLine="570"/>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响应文件格式目录</w:t>
      </w:r>
    </w:p>
    <w:p>
      <w:pPr>
        <w:widowControl w:val="0"/>
        <w:spacing w:line="540" w:lineRule="exact"/>
        <w:rPr>
          <w:rFonts w:ascii="方正仿宋_GBK" w:hAnsi="方正仿宋_GBK" w:eastAsia="方正仿宋_GBK" w:cs="方正仿宋_GBK"/>
          <w:b/>
          <w:kern w:val="0"/>
          <w:sz w:val="32"/>
          <w:szCs w:val="32"/>
        </w:rPr>
      </w:pPr>
    </w:p>
    <w:p>
      <w:pPr>
        <w:snapToGrid w:val="0"/>
        <w:spacing w:line="500" w:lineRule="exact"/>
        <w:ind w:firstLine="57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一、资质文件</w:t>
      </w:r>
    </w:p>
    <w:p>
      <w:pPr>
        <w:snapToGrid w:val="0"/>
        <w:spacing w:line="500" w:lineRule="exact"/>
        <w:ind w:firstLine="570"/>
        <w:rPr>
          <w:rFonts w:ascii="方正仿宋_GBK" w:hAnsi="方正仿宋_GBK" w:eastAsia="方正仿宋_GBK" w:cs="方正仿宋_GBK"/>
          <w:sz w:val="32"/>
          <w:szCs w:val="32"/>
        </w:rPr>
      </w:pPr>
    </w:p>
    <w:p>
      <w:pPr>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（一）营业执照复印件</w:t>
      </w:r>
    </w:p>
    <w:p>
      <w:pPr>
        <w:snapToGrid w:val="0"/>
        <w:spacing w:line="500" w:lineRule="exact"/>
        <w:ind w:firstLine="570"/>
        <w:rPr>
          <w:rFonts w:ascii="方正仿宋_GBK" w:hAnsi="方正仿宋_GBK" w:eastAsia="方正仿宋_GBK" w:cs="方正仿宋_GBK"/>
          <w:sz w:val="32"/>
          <w:szCs w:val="32"/>
        </w:rPr>
      </w:pPr>
    </w:p>
    <w:p>
      <w:pPr>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（二）税务登记证复印件</w:t>
      </w:r>
    </w:p>
    <w:p>
      <w:pPr>
        <w:snapToGrid w:val="0"/>
        <w:spacing w:line="500" w:lineRule="exact"/>
        <w:ind w:firstLine="570"/>
        <w:rPr>
          <w:rFonts w:ascii="方正仿宋_GBK" w:hAnsi="方正仿宋_GBK" w:eastAsia="方正仿宋_GBK" w:cs="方正仿宋_GBK"/>
          <w:sz w:val="32"/>
          <w:szCs w:val="32"/>
        </w:rPr>
      </w:pPr>
    </w:p>
    <w:p>
      <w:pPr>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（三）组织机构代码证复印件</w:t>
      </w:r>
    </w:p>
    <w:p>
      <w:pPr>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说明：响应人按“三证合一”登记制度办理营业执照的，组织机构代码证和税务登记证以响应人所提供的法人营业执照（副本）复印件为准。</w:t>
      </w:r>
    </w:p>
    <w:p>
      <w:pPr>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（注：以上复印件均需加盖单位印章，原件备查。若需要原件未能及时提供的，将导致资格审查不合格。）</w:t>
      </w:r>
    </w:p>
    <w:p>
      <w:pPr>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r>
        <w:rPr>
          <w:rFonts w:hint="eastAsia" w:ascii="方正仿宋_GBK" w:hAnsi="方正仿宋_GBK" w:eastAsia="方正仿宋_GBK" w:cs="方正仿宋_GBK"/>
          <w:sz w:val="32"/>
          <w:szCs w:val="32"/>
        </w:rPr>
        <w:t>（四）法定代表人身份证明书（格式）</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p>
    <w:p>
      <w:pPr>
        <w:widowControl w:val="0"/>
        <w:tabs>
          <w:tab w:val="left" w:pos="6300"/>
        </w:tabs>
        <w:snapToGrid w:val="0"/>
        <w:spacing w:line="500" w:lineRule="exact"/>
        <w:ind w:firstLine="570"/>
        <w:rPr>
          <w:rFonts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采购项目名称：</w:t>
      </w:r>
      <w:r>
        <w:rPr>
          <w:rFonts w:hint="eastAsia" w:ascii="方正仿宋_GBK" w:hAnsi="方正仿宋_GBK" w:eastAsia="方正仿宋_GBK" w:cs="方正仿宋_GBK"/>
          <w:sz w:val="32"/>
          <w:szCs w:val="32"/>
          <w:u w:val="single"/>
        </w:rPr>
        <w:t xml:space="preserve">                                          </w:t>
      </w:r>
    </w:p>
    <w:p>
      <w:pPr>
        <w:widowControl w:val="0"/>
        <w:tabs>
          <w:tab w:val="left" w:pos="6300"/>
        </w:tabs>
        <w:snapToGrid w:val="0"/>
        <w:spacing w:line="500" w:lineRule="exact"/>
        <w:ind w:firstLine="570"/>
        <w:rPr>
          <w:rFonts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采购项目编号：</w:t>
      </w:r>
      <w:r>
        <w:rPr>
          <w:rFonts w:hint="eastAsia" w:ascii="方正仿宋_GBK" w:hAnsi="方正仿宋_GBK" w:eastAsia="方正仿宋_GBK" w:cs="方正仿宋_GBK"/>
          <w:sz w:val="32"/>
          <w:szCs w:val="32"/>
          <w:u w:val="single"/>
        </w:rPr>
        <w:t xml:space="preserve">                                          </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（采购代理机构名称）：</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（法定代表人姓名）在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（供应商名称）任</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（职务名称）职务，是（供应商名称）</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的法定代表人。</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特此证明。</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p>
    <w:p>
      <w:pPr>
        <w:widowControl w:val="0"/>
        <w:tabs>
          <w:tab w:val="left" w:pos="6300"/>
        </w:tabs>
        <w:snapToGrid w:val="0"/>
        <w:spacing w:line="500" w:lineRule="exact"/>
        <w:ind w:firstLine="570"/>
        <w:rPr>
          <w:rFonts w:ascii="方正仿宋_GBK" w:hAnsi="方正仿宋_GBK" w:eastAsia="方正仿宋_GBK" w:cs="方正仿宋_GBK"/>
          <w:sz w:val="32"/>
          <w:szCs w:val="32"/>
        </w:rPr>
      </w:pPr>
    </w:p>
    <w:p>
      <w:pPr>
        <w:widowControl w:val="0"/>
        <w:tabs>
          <w:tab w:val="left" w:pos="6300"/>
        </w:tabs>
        <w:snapToGrid w:val="0"/>
        <w:spacing w:line="500" w:lineRule="exact"/>
        <w:ind w:firstLine="570"/>
        <w:rPr>
          <w:rFonts w:ascii="方正仿宋_GBK" w:hAnsi="方正仿宋_GBK" w:eastAsia="方正仿宋_GBK" w:cs="方正仿宋_GBK"/>
          <w:sz w:val="32"/>
          <w:szCs w:val="32"/>
        </w:rPr>
      </w:pPr>
    </w:p>
    <w:p>
      <w:pPr>
        <w:widowControl w:val="0"/>
        <w:tabs>
          <w:tab w:val="left" w:pos="6300"/>
        </w:tabs>
        <w:snapToGrid w:val="0"/>
        <w:spacing w:line="500" w:lineRule="exact"/>
        <w:ind w:firstLine="570"/>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（供应商公章）</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（附：法定代表人身份证复印件）</w:t>
      </w:r>
    </w:p>
    <w:p>
      <w:pPr>
        <w:widowControl w:val="0"/>
        <w:snapToGrid w:val="0"/>
        <w:spacing w:line="440" w:lineRule="exact"/>
        <w:ind w:firstLine="640" w:firstLineChars="200"/>
        <w:rPr>
          <w:rFonts w:ascii="方正仿宋_GBK" w:hAnsi="方正仿宋_GBK" w:eastAsia="方正仿宋_GBK" w:cs="方正仿宋_GBK"/>
          <w:sz w:val="32"/>
          <w:szCs w:val="32"/>
        </w:rPr>
      </w:pP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r>
        <w:rPr>
          <w:rFonts w:hint="eastAsia" w:ascii="方正仿宋_GBK" w:hAnsi="方正仿宋_GBK" w:eastAsia="方正仿宋_GBK" w:cs="方正仿宋_GBK"/>
          <w:sz w:val="32"/>
          <w:szCs w:val="32"/>
        </w:rPr>
        <w:t>（五）法定代表人授权委托书（格式）</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采购项目名称：</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采购项目编号：</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p>
    <w:p>
      <w:pPr>
        <w:widowControl w:val="0"/>
        <w:tabs>
          <w:tab w:val="left" w:pos="6300"/>
        </w:tabs>
        <w:snapToGrid w:val="0"/>
        <w:spacing w:line="500" w:lineRule="exact"/>
        <w:ind w:firstLine="570"/>
        <w:rPr>
          <w:rFonts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（采购代理机构名称）：</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（供应商法定代表人名称）是                    响应人供应商名称）的法定代表人，特授权                                     （被授权人姓名及身份证代码）代表我单位全权办理上述项目的响应、谈判、签约等具体工作，并签署全部有关文件、协议及合同。</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我单位对被授权人的签字负全部责任。</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在撤消授权的书面通知以前，本授权书一直有效。被授权人在授权书有效期内签署的所有文件不因授权的撤消而失效。</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被授权人：                       供应商法定代表人：</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（签字或盖章）                 （签字或盖章）</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（附：被授权人身份证复印件）</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p>
    <w:p>
      <w:pPr>
        <w:widowControl w:val="0"/>
        <w:tabs>
          <w:tab w:val="left" w:pos="6300"/>
        </w:tabs>
        <w:snapToGrid w:val="0"/>
        <w:spacing w:line="500" w:lineRule="exact"/>
        <w:ind w:firstLine="570"/>
        <w:rPr>
          <w:rFonts w:ascii="方正仿宋_GBK" w:hAnsi="方正仿宋_GBK" w:eastAsia="方正仿宋_GBK" w:cs="方正仿宋_GBK"/>
          <w:sz w:val="32"/>
          <w:szCs w:val="32"/>
        </w:rPr>
      </w:pPr>
    </w:p>
    <w:p>
      <w:pPr>
        <w:widowControl w:val="0"/>
        <w:tabs>
          <w:tab w:val="left" w:pos="6300"/>
        </w:tabs>
        <w:snapToGrid w:val="0"/>
        <w:spacing w:line="500" w:lineRule="exact"/>
        <w:ind w:firstLine="570"/>
        <w:rPr>
          <w:rFonts w:ascii="方正仿宋_GBK" w:hAnsi="方正仿宋_GBK" w:eastAsia="方正仿宋_GBK" w:cs="方正仿宋_GBK"/>
          <w:sz w:val="32"/>
          <w:szCs w:val="32"/>
        </w:rPr>
      </w:pPr>
    </w:p>
    <w:p>
      <w:pPr>
        <w:widowControl w:val="0"/>
        <w:tabs>
          <w:tab w:val="left" w:pos="6300"/>
        </w:tabs>
        <w:snapToGrid w:val="0"/>
        <w:spacing w:line="500" w:lineRule="exact"/>
        <w:ind w:firstLine="570"/>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（供应商公章）</w:t>
      </w:r>
    </w:p>
    <w:p>
      <w:pPr>
        <w:widowControl w:val="0"/>
        <w:tabs>
          <w:tab w:val="left" w:pos="6300"/>
        </w:tabs>
        <w:snapToGrid w:val="0"/>
        <w:spacing w:line="500" w:lineRule="exact"/>
        <w:ind w:firstLine="570"/>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r>
        <w:rPr>
          <w:rFonts w:hint="eastAsia" w:ascii="方正仿宋_GBK" w:hAnsi="方正仿宋_GBK" w:eastAsia="方正仿宋_GBK" w:cs="方正仿宋_GBK"/>
          <w:sz w:val="32"/>
          <w:szCs w:val="32"/>
        </w:rPr>
        <w:t>（六）诚信声明（格式）</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采购项目名称：</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采购项目编号：</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（采购机构名称）：</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特此声明。</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p>
    <w:p>
      <w:pPr>
        <w:widowControl w:val="0"/>
        <w:tabs>
          <w:tab w:val="left" w:pos="6300"/>
        </w:tabs>
        <w:snapToGrid w:val="0"/>
        <w:spacing w:line="500" w:lineRule="exact"/>
        <w:ind w:firstLine="570"/>
        <w:jc w:val="right"/>
        <w:rPr>
          <w:rFonts w:ascii="方正仿宋_GBK" w:hAnsi="方正仿宋_GBK" w:eastAsia="方正仿宋_GBK" w:cs="方正仿宋_GBK"/>
          <w:sz w:val="32"/>
          <w:szCs w:val="32"/>
        </w:rPr>
      </w:pPr>
    </w:p>
    <w:p>
      <w:pPr>
        <w:widowControl w:val="0"/>
        <w:tabs>
          <w:tab w:val="left" w:pos="6300"/>
        </w:tabs>
        <w:snapToGrid w:val="0"/>
        <w:spacing w:line="500" w:lineRule="exact"/>
        <w:ind w:firstLine="570"/>
        <w:jc w:val="right"/>
        <w:rPr>
          <w:rFonts w:ascii="方正仿宋_GBK" w:hAnsi="方正仿宋_GBK" w:eastAsia="方正仿宋_GBK" w:cs="方正仿宋_GBK"/>
          <w:sz w:val="32"/>
          <w:szCs w:val="32"/>
        </w:rPr>
      </w:pPr>
    </w:p>
    <w:p>
      <w:pPr>
        <w:widowControl w:val="0"/>
        <w:tabs>
          <w:tab w:val="left" w:pos="6300"/>
        </w:tabs>
        <w:snapToGrid w:val="0"/>
        <w:spacing w:line="500" w:lineRule="exact"/>
        <w:ind w:firstLine="570"/>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（供应商公章）</w:t>
      </w:r>
    </w:p>
    <w:p>
      <w:pPr>
        <w:widowControl w:val="0"/>
        <w:tabs>
          <w:tab w:val="left" w:pos="6300"/>
        </w:tabs>
        <w:snapToGrid w:val="0"/>
        <w:spacing w:line="500" w:lineRule="exact"/>
        <w:ind w:firstLine="570"/>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widowControl w:val="0"/>
        <w:spacing w:line="540" w:lineRule="exact"/>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br w:type="page"/>
      </w:r>
      <w:r>
        <w:rPr>
          <w:rFonts w:hint="eastAsia" w:ascii="方正仿宋_GBK" w:hAnsi="方正仿宋_GBK" w:eastAsia="方正仿宋_GBK" w:cs="方正仿宋_GBK"/>
          <w:sz w:val="32"/>
          <w:szCs w:val="32"/>
        </w:rPr>
        <w:t>二、技术文件</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（一）响应货物技术性能、技术指标介绍；</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（二）采购与响应货物技术参数差异表</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项目名称：                            </w:t>
      </w:r>
    </w:p>
    <w:p>
      <w:pPr>
        <w:widowControl w:val="0"/>
        <w:tabs>
          <w:tab w:val="left" w:pos="6300"/>
        </w:tabs>
        <w:snapToGrid w:val="0"/>
        <w:spacing w:line="500" w:lineRule="exact"/>
        <w:ind w:firstLine="570"/>
        <w:rPr>
          <w:rFonts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 xml:space="preserve">采购项目编号：      </w:t>
      </w:r>
      <w:r>
        <w:rPr>
          <w:rFonts w:hint="eastAsia" w:ascii="方正仿宋_GBK" w:hAnsi="方正仿宋_GBK" w:eastAsia="方正仿宋_GBK" w:cs="方正仿宋_GBK"/>
          <w:kern w:val="0"/>
          <w:sz w:val="32"/>
          <w:szCs w:val="32"/>
        </w:rPr>
        <w:t xml:space="preserve">                      </w:t>
      </w:r>
    </w:p>
    <w:p>
      <w:pPr>
        <w:widowControl w:val="0"/>
        <w:spacing w:line="540" w:lineRule="exact"/>
        <w:ind w:firstLine="800" w:firstLineChars="25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w:t>
      </w:r>
    </w:p>
    <w:tbl>
      <w:tblPr>
        <w:tblStyle w:val="12"/>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1740"/>
        <w:gridCol w:w="1623"/>
        <w:gridCol w:w="1627"/>
        <w:gridCol w:w="1220"/>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565" w:type="dxa"/>
            <w:vAlign w:val="center"/>
          </w:tcPr>
          <w:p>
            <w:pPr>
              <w:widowControl w:val="0"/>
              <w:spacing w:line="54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名称</w:t>
            </w:r>
          </w:p>
        </w:tc>
        <w:tc>
          <w:tcPr>
            <w:tcW w:w="1740" w:type="dxa"/>
            <w:vAlign w:val="center"/>
          </w:tcPr>
          <w:p>
            <w:pPr>
              <w:widowControl w:val="0"/>
              <w:spacing w:line="54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采购货物/服务技术参数</w:t>
            </w:r>
          </w:p>
        </w:tc>
        <w:tc>
          <w:tcPr>
            <w:tcW w:w="1623" w:type="dxa"/>
            <w:vAlign w:val="center"/>
          </w:tcPr>
          <w:p>
            <w:pPr>
              <w:widowControl w:val="0"/>
              <w:spacing w:line="54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响应货物/服务技术参数</w:t>
            </w:r>
          </w:p>
        </w:tc>
        <w:tc>
          <w:tcPr>
            <w:tcW w:w="1627" w:type="dxa"/>
            <w:vAlign w:val="center"/>
          </w:tcPr>
          <w:p>
            <w:pPr>
              <w:widowControl w:val="0"/>
              <w:spacing w:line="54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差异或响应</w:t>
            </w:r>
          </w:p>
        </w:tc>
        <w:tc>
          <w:tcPr>
            <w:tcW w:w="1220" w:type="dxa"/>
            <w:vAlign w:val="center"/>
          </w:tcPr>
          <w:p>
            <w:pPr>
              <w:widowControl w:val="0"/>
              <w:spacing w:line="540" w:lineRule="exac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t>差异</w:t>
            </w:r>
            <w:r>
              <w:rPr>
                <w:rFonts w:hint="eastAsia" w:ascii="方正仿宋_GBK" w:hAnsi="方正仿宋_GBK" w:eastAsia="方正仿宋_GBK" w:cs="方正仿宋_GBK"/>
                <w:kern w:val="0"/>
                <w:sz w:val="32"/>
                <w:szCs w:val="32"/>
                <w:lang w:val="en-US" w:eastAsia="zh-CN"/>
              </w:rPr>
              <w:t>原因</w:t>
            </w:r>
          </w:p>
        </w:tc>
        <w:tc>
          <w:tcPr>
            <w:tcW w:w="1363" w:type="dxa"/>
            <w:vAlign w:val="center"/>
          </w:tcPr>
          <w:p>
            <w:pPr>
              <w:widowControl w:val="0"/>
              <w:spacing w:line="54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响应文件对应页码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65"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740"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623"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627" w:type="dxa"/>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220" w:type="dxa"/>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363" w:type="dxa"/>
          </w:tcPr>
          <w:p>
            <w:pPr>
              <w:widowControl w:val="0"/>
              <w:spacing w:line="540" w:lineRule="exact"/>
              <w:ind w:firstLine="800" w:firstLineChars="250"/>
              <w:rPr>
                <w:rFonts w:ascii="方正仿宋_GBK" w:hAnsi="方正仿宋_GBK" w:eastAsia="方正仿宋_GBK" w:cs="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65"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740"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623"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627" w:type="dxa"/>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220" w:type="dxa"/>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363" w:type="dxa"/>
          </w:tcPr>
          <w:p>
            <w:pPr>
              <w:widowControl w:val="0"/>
              <w:spacing w:line="540" w:lineRule="exact"/>
              <w:ind w:firstLine="800" w:firstLineChars="250"/>
              <w:rPr>
                <w:rFonts w:ascii="方正仿宋_GBK" w:hAnsi="方正仿宋_GBK" w:eastAsia="方正仿宋_GBK" w:cs="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65"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740"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623"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627" w:type="dxa"/>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220" w:type="dxa"/>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363" w:type="dxa"/>
          </w:tcPr>
          <w:p>
            <w:pPr>
              <w:widowControl w:val="0"/>
              <w:spacing w:line="540" w:lineRule="exact"/>
              <w:ind w:firstLine="800" w:firstLineChars="250"/>
              <w:rPr>
                <w:rFonts w:ascii="方正仿宋_GBK" w:hAnsi="方正仿宋_GBK" w:eastAsia="方正仿宋_GBK" w:cs="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65"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740"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623"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627" w:type="dxa"/>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220" w:type="dxa"/>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363" w:type="dxa"/>
          </w:tcPr>
          <w:p>
            <w:pPr>
              <w:widowControl w:val="0"/>
              <w:spacing w:line="540" w:lineRule="exact"/>
              <w:ind w:firstLine="800" w:firstLineChars="250"/>
              <w:rPr>
                <w:rFonts w:ascii="方正仿宋_GBK" w:hAnsi="方正仿宋_GBK" w:eastAsia="方正仿宋_GBK" w:cs="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65"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740"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623"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627" w:type="dxa"/>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220" w:type="dxa"/>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363" w:type="dxa"/>
          </w:tcPr>
          <w:p>
            <w:pPr>
              <w:widowControl w:val="0"/>
              <w:spacing w:line="540" w:lineRule="exact"/>
              <w:ind w:firstLine="800" w:firstLineChars="250"/>
              <w:rPr>
                <w:rFonts w:ascii="方正仿宋_GBK" w:hAnsi="方正仿宋_GBK" w:eastAsia="方正仿宋_GBK" w:cs="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65"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740"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623"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627" w:type="dxa"/>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220" w:type="dxa"/>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363" w:type="dxa"/>
          </w:tcPr>
          <w:p>
            <w:pPr>
              <w:widowControl w:val="0"/>
              <w:spacing w:line="540" w:lineRule="exact"/>
              <w:ind w:firstLine="800" w:firstLineChars="250"/>
              <w:rPr>
                <w:rFonts w:ascii="方正仿宋_GBK" w:hAnsi="方正仿宋_GBK" w:eastAsia="方正仿宋_GBK" w:cs="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65"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740"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623"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627" w:type="dxa"/>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220" w:type="dxa"/>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363" w:type="dxa"/>
          </w:tcPr>
          <w:p>
            <w:pPr>
              <w:widowControl w:val="0"/>
              <w:spacing w:line="540" w:lineRule="exact"/>
              <w:ind w:firstLine="800" w:firstLineChars="250"/>
              <w:rPr>
                <w:rFonts w:ascii="方正仿宋_GBK" w:hAnsi="方正仿宋_GBK" w:eastAsia="方正仿宋_GBK" w:cs="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65"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740"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623" w:type="dxa"/>
            <w:vAlign w:val="center"/>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627" w:type="dxa"/>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220" w:type="dxa"/>
          </w:tcPr>
          <w:p>
            <w:pPr>
              <w:widowControl w:val="0"/>
              <w:spacing w:line="540" w:lineRule="exact"/>
              <w:ind w:firstLine="800" w:firstLineChars="250"/>
              <w:rPr>
                <w:rFonts w:ascii="方正仿宋_GBK" w:hAnsi="方正仿宋_GBK" w:eastAsia="方正仿宋_GBK" w:cs="方正仿宋_GBK"/>
                <w:kern w:val="0"/>
                <w:sz w:val="32"/>
                <w:szCs w:val="32"/>
              </w:rPr>
            </w:pPr>
          </w:p>
        </w:tc>
        <w:tc>
          <w:tcPr>
            <w:tcW w:w="1363" w:type="dxa"/>
          </w:tcPr>
          <w:p>
            <w:pPr>
              <w:widowControl w:val="0"/>
              <w:spacing w:line="540" w:lineRule="exact"/>
              <w:ind w:firstLine="800" w:firstLineChars="250"/>
              <w:rPr>
                <w:rFonts w:ascii="方正仿宋_GBK" w:hAnsi="方正仿宋_GBK" w:eastAsia="方正仿宋_GBK" w:cs="方正仿宋_GBK"/>
                <w:kern w:val="0"/>
                <w:sz w:val="32"/>
                <w:szCs w:val="32"/>
              </w:rPr>
            </w:pPr>
          </w:p>
        </w:tc>
      </w:tr>
    </w:tbl>
    <w:p>
      <w:pPr>
        <w:widowControl w:val="0"/>
        <w:tabs>
          <w:tab w:val="left" w:pos="6300"/>
        </w:tabs>
        <w:snapToGrid w:val="0"/>
        <w:spacing w:line="500" w:lineRule="exact"/>
        <w:ind w:firstLine="570"/>
        <w:rPr>
          <w:rFonts w:ascii="方正仿宋_GBK" w:hAnsi="方正仿宋_GBK" w:eastAsia="方正仿宋_GBK" w:cs="方正仿宋_GBK"/>
          <w:sz w:val="32"/>
          <w:szCs w:val="32"/>
        </w:rPr>
      </w:pP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注：1、应对技术方案中的所有条款进行逐一应答，还需在“响应文件对应页码”栏内写明技术支持文件的页码。</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2、若无差异，请在“响应或差异”处填写响应。</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3、若有差异，请在“响应或差异”处填写差异，技术参数优于采购文件要求的在“差异原因”处填写正偏离；相应技术参数低于采购文件要求的在“差异原因”处填写负偏离。</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（三）采购通知书中要求的其他技术商务文件</w:t>
      </w:r>
    </w:p>
    <w:p>
      <w:pPr>
        <w:widowControl w:val="0"/>
        <w:tabs>
          <w:tab w:val="left" w:pos="6300"/>
        </w:tabs>
        <w:snapToGrid w:val="0"/>
        <w:spacing w:line="5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br w:type="page"/>
      </w:r>
      <w:r>
        <w:rPr>
          <w:rFonts w:hint="eastAsia" w:ascii="方正仿宋_GBK" w:hAnsi="方正仿宋_GBK" w:eastAsia="方正仿宋_GBK" w:cs="方正仿宋_GBK"/>
          <w:sz w:val="32"/>
          <w:szCs w:val="32"/>
        </w:rPr>
        <w:t>三、报价文件</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（一）议价一览表</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项目编号：</w:t>
      </w:r>
      <w:r>
        <w:rPr>
          <w:rFonts w:hint="eastAsia" w:ascii="方正仿宋_GBK" w:hAnsi="方正仿宋_GBK" w:eastAsia="方正仿宋_GBK" w:cs="方正仿宋_GBK"/>
          <w:sz w:val="32"/>
          <w:szCs w:val="32"/>
          <w:u w:val="single"/>
        </w:rPr>
        <w:t xml:space="preserve">                            </w:t>
      </w:r>
    </w:p>
    <w:p>
      <w:pPr>
        <w:widowControl w:val="0"/>
        <w:tabs>
          <w:tab w:val="left" w:pos="6300"/>
        </w:tabs>
        <w:snapToGrid w:val="0"/>
        <w:spacing w:line="500" w:lineRule="exact"/>
        <w:ind w:firstLine="570"/>
        <w:rPr>
          <w:rFonts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项目名称：</w:t>
      </w:r>
      <w:r>
        <w:rPr>
          <w:rFonts w:hint="eastAsia" w:ascii="方正仿宋_GBK" w:hAnsi="方正仿宋_GBK" w:eastAsia="方正仿宋_GBK" w:cs="方正仿宋_GBK"/>
          <w:sz w:val="32"/>
          <w:szCs w:val="32"/>
          <w:u w:val="single"/>
        </w:rPr>
        <w:t xml:space="preserve">                           </w:t>
      </w:r>
    </w:p>
    <w:p>
      <w:pPr>
        <w:widowControl w:val="0"/>
        <w:spacing w:line="540" w:lineRule="exact"/>
        <w:rPr>
          <w:rFonts w:ascii="方正仿宋_GBK" w:hAnsi="方正仿宋_GBK" w:eastAsia="方正仿宋_GBK" w:cs="方正仿宋_GBK"/>
          <w:kern w:val="0"/>
          <w:sz w:val="32"/>
          <w:szCs w:val="32"/>
          <w:u w:val="single"/>
        </w:rPr>
      </w:pPr>
    </w:p>
    <w:tbl>
      <w:tblPr>
        <w:tblStyle w:val="12"/>
        <w:tblpPr w:leftFromText="180" w:rightFromText="180" w:vertAnchor="text" w:horzAnchor="page" w:tblpX="1808" w:tblpY="5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
        <w:gridCol w:w="3579"/>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2469" w:type="dxa"/>
            <w:gridSpan w:val="2"/>
            <w:vAlign w:val="center"/>
          </w:tcPr>
          <w:p>
            <w:pPr>
              <w:widowControl w:val="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响应人全称</w:t>
            </w:r>
          </w:p>
        </w:tc>
        <w:tc>
          <w:tcPr>
            <w:tcW w:w="6811" w:type="dxa"/>
            <w:gridSpan w:val="2"/>
            <w:vAlign w:val="center"/>
          </w:tcPr>
          <w:p>
            <w:pPr>
              <w:widowControl w:val="0"/>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2448" w:type="dxa"/>
            <w:vAlign w:val="center"/>
          </w:tcPr>
          <w:p>
            <w:pPr>
              <w:widowControl w:val="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项目名称</w:t>
            </w:r>
          </w:p>
        </w:tc>
        <w:tc>
          <w:tcPr>
            <w:tcW w:w="3600" w:type="dxa"/>
            <w:gridSpan w:val="2"/>
            <w:vAlign w:val="center"/>
          </w:tcPr>
          <w:p>
            <w:pPr>
              <w:widowControl w:val="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质保</w:t>
            </w:r>
            <w:r>
              <w:rPr>
                <w:rFonts w:hint="eastAsia" w:ascii="方正仿宋_GBK" w:hAnsi="方正仿宋_GBK" w:eastAsia="方正仿宋_GBK" w:cs="方正仿宋_GBK"/>
                <w:sz w:val="32"/>
                <w:szCs w:val="32"/>
              </w:rPr>
              <w:t>期</w:t>
            </w:r>
          </w:p>
        </w:tc>
        <w:tc>
          <w:tcPr>
            <w:tcW w:w="3232" w:type="dxa"/>
            <w:vAlign w:val="center"/>
          </w:tcPr>
          <w:p>
            <w:pPr>
              <w:widowControl w:val="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5" w:hRule="atLeast"/>
        </w:trPr>
        <w:tc>
          <w:tcPr>
            <w:tcW w:w="2448" w:type="dxa"/>
            <w:tcBorders>
              <w:bottom w:val="single" w:color="auto" w:sz="4" w:space="0"/>
            </w:tcBorders>
          </w:tcPr>
          <w:p>
            <w:pPr>
              <w:widowControl w:val="0"/>
              <w:rPr>
                <w:rFonts w:ascii="方正仿宋_GBK" w:hAnsi="方正仿宋_GBK" w:eastAsia="方正仿宋_GBK" w:cs="方正仿宋_GBK"/>
                <w:sz w:val="32"/>
                <w:szCs w:val="32"/>
              </w:rPr>
            </w:pPr>
          </w:p>
        </w:tc>
        <w:tc>
          <w:tcPr>
            <w:tcW w:w="3600" w:type="dxa"/>
            <w:gridSpan w:val="2"/>
            <w:tcBorders>
              <w:bottom w:val="single" w:color="auto" w:sz="4" w:space="0"/>
            </w:tcBorders>
          </w:tcPr>
          <w:p>
            <w:pPr>
              <w:widowControl w:val="0"/>
              <w:rPr>
                <w:rFonts w:ascii="方正仿宋_GBK" w:hAnsi="方正仿宋_GBK" w:eastAsia="方正仿宋_GBK" w:cs="方正仿宋_GBK"/>
                <w:sz w:val="32"/>
                <w:szCs w:val="32"/>
              </w:rPr>
            </w:pPr>
          </w:p>
        </w:tc>
        <w:tc>
          <w:tcPr>
            <w:tcW w:w="3232" w:type="dxa"/>
            <w:tcBorders>
              <w:bottom w:val="single" w:color="auto" w:sz="4" w:space="0"/>
            </w:tcBorders>
          </w:tcPr>
          <w:p>
            <w:pPr>
              <w:widowControl w:val="0"/>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2469" w:type="dxa"/>
            <w:gridSpan w:val="2"/>
            <w:tcBorders>
              <w:bottom w:val="single" w:color="auto" w:sz="4" w:space="0"/>
            </w:tcBorders>
            <w:vAlign w:val="center"/>
          </w:tcPr>
          <w:p>
            <w:pPr>
              <w:widowControl w:val="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响应人响应价格</w:t>
            </w:r>
          </w:p>
          <w:p>
            <w:pPr>
              <w:widowControl w:val="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（人民币）  </w:t>
            </w:r>
          </w:p>
        </w:tc>
        <w:tc>
          <w:tcPr>
            <w:tcW w:w="6811" w:type="dxa"/>
            <w:gridSpan w:val="2"/>
            <w:tcBorders>
              <w:bottom w:val="single" w:color="auto" w:sz="4" w:space="0"/>
            </w:tcBorders>
            <w:vAlign w:val="center"/>
          </w:tcPr>
          <w:p>
            <w:pPr>
              <w:widowContro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8" w:hRule="atLeast"/>
        </w:trPr>
        <w:tc>
          <w:tcPr>
            <w:tcW w:w="9280" w:type="dxa"/>
            <w:gridSpan w:val="4"/>
          </w:tcPr>
          <w:p>
            <w:pPr>
              <w:widowControl w:val="0"/>
              <w:rPr>
                <w:rFonts w:ascii="方正仿宋_GBK" w:hAnsi="方正仿宋_GBK" w:eastAsia="方正仿宋_GBK" w:cs="方正仿宋_GBK"/>
                <w:sz w:val="32"/>
                <w:szCs w:val="32"/>
              </w:rPr>
            </w:pPr>
          </w:p>
          <w:p>
            <w:pPr>
              <w:widowContro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备注：</w:t>
            </w:r>
          </w:p>
        </w:tc>
      </w:tr>
    </w:tbl>
    <w:p>
      <w:pPr>
        <w:widowControl w:val="0"/>
        <w:spacing w:line="540" w:lineRule="exact"/>
        <w:rPr>
          <w:rFonts w:ascii="方正仿宋_GBK" w:hAnsi="方正仿宋_GBK" w:eastAsia="方正仿宋_GBK" w:cs="方正仿宋_GBK"/>
          <w:kern w:val="0"/>
          <w:sz w:val="32"/>
          <w:szCs w:val="32"/>
        </w:rPr>
      </w:pPr>
    </w:p>
    <w:p>
      <w:pPr>
        <w:widowControl w:val="0"/>
        <w:spacing w:line="540" w:lineRule="exact"/>
        <w:ind w:firstLine="480" w:firstLineChars="15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响应人：                               响应单位法定代表人授权代表：</w:t>
      </w:r>
    </w:p>
    <w:p>
      <w:pPr>
        <w:widowControl w:val="0"/>
        <w:spacing w:line="54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（公章）                                  （签名）</w:t>
      </w:r>
    </w:p>
    <w:p>
      <w:pPr>
        <w:widowControl w:val="0"/>
        <w:spacing w:line="54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w:t>
      </w:r>
    </w:p>
    <w:p>
      <w:pPr>
        <w:widowControl w:val="0"/>
        <w:spacing w:line="54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年    月     日</w:t>
      </w:r>
    </w:p>
    <w:p>
      <w:pPr>
        <w:widowControl w:val="0"/>
        <w:snapToGrid w:val="0"/>
        <w:spacing w:line="540" w:lineRule="exact"/>
        <w:rPr>
          <w:rFonts w:ascii="方正仿宋_GBK" w:hAnsi="方正仿宋_GBK" w:eastAsia="方正仿宋_GBK" w:cs="方正仿宋_GBK"/>
          <w:kern w:val="0"/>
          <w:sz w:val="32"/>
          <w:szCs w:val="32"/>
        </w:rPr>
      </w:pPr>
    </w:p>
    <w:p>
      <w:pPr>
        <w:spacing w:line="540" w:lineRule="exact"/>
        <w:rPr>
          <w:rFonts w:ascii="方正仿宋_GBK" w:hAnsi="方正仿宋_GBK" w:eastAsia="方正仿宋_GBK" w:cs="方正仿宋_GBK"/>
          <w:spacing w:val="20"/>
          <w:kern w:val="0"/>
          <w:sz w:val="32"/>
          <w:szCs w:val="32"/>
        </w:rPr>
      </w:pPr>
      <w:r>
        <w:rPr>
          <w:rFonts w:hint="eastAsia" w:ascii="方正仿宋_GBK" w:hAnsi="方正仿宋_GBK" w:eastAsia="方正仿宋_GBK" w:cs="方正仿宋_GBK"/>
          <w:spacing w:val="20"/>
          <w:kern w:val="0"/>
          <w:sz w:val="32"/>
          <w:szCs w:val="32"/>
        </w:rPr>
        <w:t>说明：议价一览表在议价采购会上当众宣读，务必填写清楚、准确无误。</w:t>
      </w:r>
    </w:p>
    <w:p>
      <w:pP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r>
        <w:rPr>
          <w:rFonts w:hint="eastAsia" w:ascii="方正仿宋_GBK" w:hAnsi="方正仿宋_GBK" w:eastAsia="方正仿宋_GBK" w:cs="方正仿宋_GBK"/>
          <w:sz w:val="32"/>
          <w:szCs w:val="32"/>
        </w:rPr>
        <w:t>附件2</w:t>
      </w:r>
    </w:p>
    <w:p>
      <w:pPr>
        <w:spacing w:line="520" w:lineRule="exact"/>
        <w:ind w:firstLine="2891" w:firstLineChars="900"/>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sz w:val="32"/>
          <w:szCs w:val="32"/>
          <w:lang w:eastAsia="zh-CN"/>
        </w:rPr>
        <w:t>中联系统维护</w:t>
      </w:r>
      <w:r>
        <w:rPr>
          <w:rFonts w:hint="eastAsia" w:asciiTheme="minorEastAsia" w:hAnsiTheme="minorEastAsia" w:eastAsiaTheme="minorEastAsia" w:cstheme="minorEastAsia"/>
          <w:b/>
          <w:bCs/>
          <w:sz w:val="32"/>
          <w:szCs w:val="32"/>
        </w:rPr>
        <w:t>服务方案</w:t>
      </w:r>
    </w:p>
    <w:p>
      <w:pPr>
        <w:pStyle w:val="5"/>
        <w:keepNext/>
        <w:keepLines/>
        <w:pageBreakBefore w:val="0"/>
        <w:widowControl w:val="0"/>
        <w:kinsoku/>
        <w:wordWrap/>
        <w:overflowPunct/>
        <w:topLinePunct w:val="0"/>
        <w:autoSpaceDE/>
        <w:autoSpaceDN/>
        <w:bidi w:val="0"/>
        <w:adjustRightInd/>
        <w:snapToGrid/>
        <w:spacing w:before="0" w:after="0" w:line="240" w:lineRule="auto"/>
        <w:textAlignment w:val="auto"/>
        <w:outlineLvl w:val="0"/>
        <w:rPr>
          <w:rFonts w:hint="eastAsia" w:ascii="方正仿宋_GBK" w:hAnsi="方正仿宋_GBK" w:eastAsia="方正仿宋_GBK" w:cs="方正仿宋_GBK"/>
          <w:b w:val="0"/>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b w:val="0"/>
          <w:color w:val="000000" w:themeColor="text1"/>
          <w:kern w:val="2"/>
          <w:sz w:val="32"/>
          <w:szCs w:val="32"/>
          <w:lang w:val="en-US" w:eastAsia="zh-CN" w:bidi="ar-SA"/>
          <w14:textFill>
            <w14:solidFill>
              <w14:schemeClr w14:val="tx1"/>
            </w14:solidFill>
          </w14:textFill>
        </w:rPr>
        <w:t>一、维护的系统模块及站点数选择：</w:t>
      </w:r>
    </w:p>
    <w:tbl>
      <w:tblPr>
        <w:tblStyle w:val="12"/>
        <w:tblW w:w="4998" w:type="pct"/>
        <w:jc w:val="center"/>
        <w:tblLayout w:type="autofit"/>
        <w:tblCellMar>
          <w:top w:w="0" w:type="dxa"/>
          <w:left w:w="108" w:type="dxa"/>
          <w:bottom w:w="0" w:type="dxa"/>
          <w:right w:w="108" w:type="dxa"/>
        </w:tblCellMar>
      </w:tblPr>
      <w:tblGrid>
        <w:gridCol w:w="2134"/>
        <w:gridCol w:w="3439"/>
        <w:gridCol w:w="1319"/>
        <w:gridCol w:w="1627"/>
      </w:tblGrid>
      <w:tr>
        <w:tblPrEx>
          <w:tblCellMar>
            <w:top w:w="0" w:type="dxa"/>
            <w:left w:w="108" w:type="dxa"/>
            <w:bottom w:w="0" w:type="dxa"/>
            <w:right w:w="108" w:type="dxa"/>
          </w:tblCellMar>
        </w:tblPrEx>
        <w:trPr>
          <w:trHeight w:val="330" w:hRule="atLeast"/>
          <w:tblHeader/>
          <w:jc w:val="center"/>
        </w:trPr>
        <w:tc>
          <w:tcPr>
            <w:tcW w:w="1252" w:type="pct"/>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b/>
                <w:sz w:val="24"/>
                <w:szCs w:val="24"/>
              </w:rPr>
            </w:pPr>
            <w:r>
              <w:rPr>
                <w:rFonts w:hint="eastAsia" w:ascii="宋体" w:hAnsi="宋体" w:cs="Times New Roman"/>
                <w:b/>
                <w:sz w:val="24"/>
                <w:szCs w:val="24"/>
              </w:rPr>
              <w:t>产品分类</w:t>
            </w: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b/>
                <w:sz w:val="24"/>
                <w:szCs w:val="24"/>
              </w:rPr>
            </w:pPr>
            <w:r>
              <w:rPr>
                <w:rFonts w:hint="eastAsia" w:ascii="宋体" w:hAnsi="宋体" w:cs="Times New Roman"/>
                <w:b/>
                <w:sz w:val="24"/>
                <w:szCs w:val="24"/>
              </w:rPr>
              <w:t>子系统名称</w:t>
            </w:r>
          </w:p>
        </w:tc>
        <w:tc>
          <w:tcPr>
            <w:tcW w:w="774" w:type="pct"/>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both"/>
              <w:rPr>
                <w:rFonts w:hint="eastAsia" w:ascii="宋体" w:hAnsi="宋体" w:cs="Arial"/>
                <w:b/>
                <w:kern w:val="0"/>
                <w:sz w:val="24"/>
                <w:szCs w:val="24"/>
              </w:rPr>
            </w:pPr>
            <w:r>
              <w:rPr>
                <w:rFonts w:hint="eastAsia" w:ascii="宋体" w:hAnsi="宋体" w:cs="Arial"/>
                <w:b/>
                <w:kern w:val="0"/>
                <w:sz w:val="24"/>
                <w:szCs w:val="24"/>
              </w:rPr>
              <w:t>是否选择</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kern w:val="0"/>
                <w:sz w:val="24"/>
                <w:szCs w:val="24"/>
              </w:rPr>
            </w:pPr>
            <w:r>
              <w:rPr>
                <w:rFonts w:hint="eastAsia" w:ascii="宋体" w:hAnsi="宋体" w:cs="Arial"/>
                <w:b/>
                <w:kern w:val="0"/>
                <w:sz w:val="24"/>
                <w:szCs w:val="24"/>
              </w:rPr>
              <w:t>站点数</w:t>
            </w:r>
          </w:p>
        </w:tc>
      </w:tr>
      <w:tr>
        <w:tblPrEx>
          <w:tblCellMar>
            <w:top w:w="0" w:type="dxa"/>
            <w:left w:w="108" w:type="dxa"/>
            <w:bottom w:w="0" w:type="dxa"/>
            <w:right w:w="108" w:type="dxa"/>
          </w:tblCellMar>
        </w:tblPrEx>
        <w:trPr>
          <w:trHeight w:val="330" w:hRule="atLeast"/>
          <w:jc w:val="center"/>
        </w:trPr>
        <w:tc>
          <w:tcPr>
            <w:tcW w:w="1252"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sz w:val="24"/>
                <w:szCs w:val="24"/>
              </w:rPr>
            </w:pPr>
            <w:r>
              <w:rPr>
                <w:rFonts w:hint="eastAsia" w:ascii="宋体" w:hAnsi="宋体" w:cs="Times New Roman"/>
                <w:sz w:val="24"/>
                <w:szCs w:val="24"/>
              </w:rPr>
              <w:t>医疗管理系统</w:t>
            </w: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门急诊挂号系统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门急诊收费系统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门诊中西药房管理系统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一卡通管理系统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门诊排队叫号系统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val="0"/>
              <w:jc w:val="center"/>
              <w:rPr>
                <w:rFonts w:ascii="Times New Roman" w:hAnsi="Times New Roman" w:cs="Times New Roman"/>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取药排队叫号系统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val="0"/>
              <w:jc w:val="center"/>
              <w:rPr>
                <w:rFonts w:ascii="Times New Roman" w:hAnsi="Times New Roman" w:cs="Times New Roman"/>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PACS排队叫号系统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val="0"/>
              <w:jc w:val="center"/>
              <w:rPr>
                <w:rFonts w:ascii="Times New Roman" w:hAnsi="Times New Roman" w:cs="Times New Roman"/>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体检排队叫号系统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val="0"/>
              <w:jc w:val="center"/>
              <w:rPr>
                <w:rFonts w:ascii="Times New Roman" w:hAnsi="Times New Roman" w:cs="Times New Roman"/>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导诊查询系统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val="0"/>
              <w:jc w:val="center"/>
              <w:rPr>
                <w:rFonts w:ascii="Times New Roman" w:hAnsi="Times New Roman" w:cs="Times New Roman"/>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自助挂号系统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val="0"/>
              <w:jc w:val="center"/>
              <w:rPr>
                <w:rFonts w:ascii="Times New Roman" w:hAnsi="Times New Roman" w:cs="Times New Roman"/>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自助报告打印系统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val="0"/>
              <w:jc w:val="center"/>
              <w:rPr>
                <w:rFonts w:ascii="Times New Roman" w:hAnsi="Times New Roman" w:cs="Times New Roman"/>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病人入出转管理系统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住院费用管理系统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住院药房管理系统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感染管理系统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病案管理系统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病历质控与评分系统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sz w:val="24"/>
                <w:szCs w:val="24"/>
              </w:rPr>
            </w:pPr>
            <w:r>
              <w:rPr>
                <w:rFonts w:hint="eastAsia" w:ascii="宋体" w:hAnsi="宋体" w:cs="Times New Roman"/>
                <w:sz w:val="24"/>
                <w:szCs w:val="24"/>
              </w:rPr>
              <w:t>临床信息系统</w:t>
            </w: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门诊分诊管理系统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门急诊医生工作站</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一体化门急诊电子病历系统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hint="eastAsia" w:ascii="宋体" w:hAnsi="宋体" w:cs="Times New Roman"/>
                <w:sz w:val="24"/>
                <w:szCs w:val="24"/>
              </w:rPr>
            </w:pPr>
            <w:r>
              <w:rPr>
                <w:rFonts w:hint="eastAsia" w:ascii="宋体" w:hAnsi="宋体" w:cs="Times New Roman"/>
                <w:sz w:val="24"/>
                <w:szCs w:val="24"/>
              </w:rPr>
              <w:t>智能门急诊电子病历系统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住院医生工作站</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病区护士工作站</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配液中心管理系统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一体化住院电子病历系统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hint="eastAsia" w:ascii="宋体" w:hAnsi="宋体" w:cs="Times New Roman"/>
                <w:sz w:val="24"/>
                <w:szCs w:val="24"/>
              </w:rPr>
            </w:pPr>
            <w:r>
              <w:rPr>
                <w:rFonts w:hint="eastAsia" w:ascii="宋体" w:hAnsi="宋体" w:cs="Times New Roman"/>
                <w:sz w:val="24"/>
                <w:szCs w:val="24"/>
              </w:rPr>
              <w:t>智能住院电子病历系统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抗菌药物分级管理系统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临床路径管理系统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移动护士工作站</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移动医生工作站</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sz w:val="24"/>
                <w:szCs w:val="24"/>
              </w:rPr>
            </w:pPr>
            <w:r>
              <w:rPr>
                <w:rFonts w:hint="eastAsia" w:ascii="宋体" w:hAnsi="宋体" w:cs="Times New Roman"/>
                <w:sz w:val="24"/>
                <w:szCs w:val="24"/>
              </w:rPr>
              <w:t xml:space="preserve">  医学影像系统</w:t>
            </w:r>
            <w:r>
              <w:rPr>
                <w:rFonts w:hint="eastAsia" w:ascii="宋体" w:hAnsi="宋体" w:cs="Times New Roman"/>
                <w:sz w:val="24"/>
                <w:szCs w:val="24"/>
              </w:rPr>
              <w:br w:type="textWrapping"/>
            </w:r>
            <w:r>
              <w:rPr>
                <w:rFonts w:hint="eastAsia" w:ascii="宋体" w:hAnsi="宋体" w:cs="Times New Roman"/>
                <w:sz w:val="24"/>
                <w:szCs w:val="24"/>
              </w:rPr>
              <w:t>（PACS）</w:t>
            </w: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放射影像信息系统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宋体" w:hAnsi="宋体" w:cs="Times New Roman"/>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hint="eastAsia" w:ascii="宋体" w:hAnsi="宋体" w:cs="Times New Roman"/>
                <w:sz w:val="24"/>
                <w:szCs w:val="24"/>
              </w:rPr>
            </w:pPr>
            <w:r>
              <w:rPr>
                <w:rFonts w:hint="eastAsia" w:ascii="宋体" w:hAnsi="宋体" w:cs="Times New Roman"/>
                <w:sz w:val="24"/>
                <w:szCs w:val="24"/>
              </w:rPr>
              <w:t>新版放射影像信息系统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三维影像后处理系统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超声信息系统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内镜信息系统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病理管理系统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临床影像浏览工作站</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sz w:val="24"/>
                <w:szCs w:val="24"/>
              </w:rPr>
            </w:pPr>
            <w:r>
              <w:rPr>
                <w:rFonts w:hint="eastAsia" w:ascii="宋体" w:hAnsi="宋体" w:cs="Times New Roman"/>
                <w:sz w:val="24"/>
                <w:szCs w:val="24"/>
              </w:rPr>
              <w:t>检验信息系统</w:t>
            </w:r>
            <w:r>
              <w:rPr>
                <w:rFonts w:hint="eastAsia" w:ascii="宋体" w:hAnsi="宋体" w:cs="Times New Roman"/>
                <w:sz w:val="24"/>
                <w:szCs w:val="24"/>
              </w:rPr>
              <w:br w:type="textWrapping"/>
            </w:r>
            <w:r>
              <w:rPr>
                <w:rFonts w:hint="eastAsia" w:ascii="宋体" w:hAnsi="宋体" w:cs="Times New Roman"/>
                <w:sz w:val="24"/>
                <w:szCs w:val="24"/>
              </w:rPr>
              <w:t>（LIS）</w:t>
            </w: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检验信息系统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sz w:val="24"/>
                <w:szCs w:val="24"/>
              </w:rPr>
            </w:pPr>
            <w:r>
              <w:rPr>
                <w:rFonts w:hint="eastAsia" w:ascii="宋体" w:hAnsi="宋体" w:cs="Times New Roman"/>
                <w:sz w:val="24"/>
                <w:szCs w:val="24"/>
              </w:rPr>
              <w:t>医技管理系统</w:t>
            </w: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门诊输液管理系统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手术安排与费用管理系统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血库管理系统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体检管理系统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医技执行管理系统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sz w:val="24"/>
                <w:szCs w:val="24"/>
              </w:rPr>
            </w:pPr>
            <w:r>
              <w:rPr>
                <w:rFonts w:hint="eastAsia" w:ascii="宋体" w:hAnsi="宋体" w:cs="Times New Roman"/>
                <w:sz w:val="24"/>
                <w:szCs w:val="24"/>
              </w:rPr>
              <w:t>运营管理系统</w:t>
            </w: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后勤物资管理系统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财务监控系统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经济核算系统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药库管理与药品会计系统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设备管理系统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卫生材料管理系统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供应室管理系统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洗衣房管理系统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val="0"/>
              <w:jc w:val="center"/>
              <w:rPr>
                <w:rFonts w:ascii="Times New Roman" w:hAnsi="Times New Roman" w:cs="Times New Roman"/>
                <w:szCs w:val="24"/>
              </w:rPr>
            </w:pP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三甲达标管理系统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val="0"/>
              <w:jc w:val="center"/>
              <w:rPr>
                <w:rFonts w:ascii="Times New Roman" w:hAnsi="Times New Roman" w:cs="Times New Roman"/>
                <w:szCs w:val="24"/>
              </w:rPr>
            </w:pP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Times New Roman"/>
                <w:sz w:val="24"/>
                <w:szCs w:val="24"/>
              </w:rPr>
            </w:pPr>
            <w:r>
              <w:rPr>
                <w:rFonts w:hint="eastAsia" w:ascii="宋体" w:hAnsi="宋体" w:cs="Times New Roman"/>
                <w:sz w:val="24"/>
                <w:szCs w:val="24"/>
              </w:rPr>
              <w:t>协同办公系统（OA）</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val="0"/>
              <w:jc w:val="center"/>
              <w:rPr>
                <w:rFonts w:ascii="Times New Roman" w:hAnsi="Times New Roman" w:cs="Times New Roman"/>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sz w:val="24"/>
                <w:szCs w:val="24"/>
              </w:rPr>
            </w:pPr>
            <w:r>
              <w:rPr>
                <w:rFonts w:hint="eastAsia" w:ascii="宋体" w:hAnsi="宋体" w:cs="Times New Roman"/>
                <w:sz w:val="24"/>
                <w:szCs w:val="24"/>
              </w:rPr>
              <w:t>决策支持系统</w:t>
            </w: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综合查询与统计报表</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val="0"/>
              <w:jc w:val="center"/>
              <w:rPr>
                <w:rFonts w:ascii="Times New Roman" w:hAnsi="Times New Roman" w:cs="Times New Roman"/>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数据挖掘与决策支持系统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val="0"/>
              <w:jc w:val="center"/>
              <w:rPr>
                <w:rFonts w:ascii="Times New Roman" w:hAnsi="Times New Roman" w:cs="Times New Roman"/>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sz w:val="24"/>
                <w:szCs w:val="24"/>
              </w:rPr>
            </w:pPr>
            <w:r>
              <w:rPr>
                <w:rFonts w:hint="eastAsia" w:ascii="宋体" w:hAnsi="宋体" w:cs="Times New Roman"/>
                <w:sz w:val="24"/>
                <w:szCs w:val="24"/>
              </w:rPr>
              <w:t>外部接口系统</w:t>
            </w: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医保接口</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宋体" w:hAnsi="宋体" w:cs="Times New Roman"/>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hint="eastAsia" w:ascii="宋体" w:hAnsi="宋体" w:cs="Times New Roman"/>
                <w:sz w:val="24"/>
                <w:szCs w:val="24"/>
              </w:rPr>
            </w:pPr>
            <w:r>
              <w:rPr>
                <w:rFonts w:hint="eastAsia" w:ascii="宋体" w:hAnsi="宋体" w:cs="Times New Roman"/>
                <w:sz w:val="24"/>
                <w:szCs w:val="24"/>
              </w:rPr>
              <w:t>农合接口</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一卡通与银行接口</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电子签名接口</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合理用药系统接口</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与第三方LIS系统接口</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与第三方PACS系统接口</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与第三方EMR系统接口</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3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区域卫生信息平台接口</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485" w:hRule="atLeast"/>
          <w:jc w:val="center"/>
        </w:trPr>
        <w:tc>
          <w:tcPr>
            <w:tcW w:w="1252"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宋体"/>
                <w:sz w:val="24"/>
                <w:szCs w:val="24"/>
              </w:rPr>
            </w:pPr>
            <w:r>
              <w:rPr>
                <w:rFonts w:hint="eastAsia" w:ascii="宋体" w:hAnsi="宋体" w:cs="Times New Roman"/>
                <w:sz w:val="24"/>
                <w:szCs w:val="24"/>
              </w:rPr>
              <w:t>其他</w:t>
            </w: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系统管理工具</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530" w:hRule="atLeast"/>
          <w:jc w:val="center"/>
        </w:trPr>
        <w:tc>
          <w:tcPr>
            <w:tcW w:w="12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hAnsi="宋体" w:cs="Times New Roman"/>
                <w:sz w:val="24"/>
                <w:szCs w:val="24"/>
              </w:rPr>
            </w:pPr>
          </w:p>
        </w:tc>
        <w:tc>
          <w:tcPr>
            <w:tcW w:w="2017" w:type="pct"/>
            <w:tcBorders>
              <w:top w:val="single" w:color="auto" w:sz="4" w:space="0"/>
              <w:left w:val="single" w:color="auto" w:sz="4" w:space="0"/>
              <w:bottom w:val="single" w:color="auto" w:sz="4" w:space="0"/>
              <w:right w:val="single" w:color="auto" w:sz="4" w:space="0"/>
            </w:tcBorders>
            <w:noWrap w:val="0"/>
            <w:vAlign w:val="center"/>
          </w:tcPr>
          <w:p>
            <w:pPr>
              <w:widowControl w:val="0"/>
              <w:rPr>
                <w:rFonts w:ascii="宋体" w:hAnsi="宋体" w:cs="宋体"/>
                <w:sz w:val="24"/>
                <w:szCs w:val="24"/>
              </w:rPr>
            </w:pPr>
            <w:r>
              <w:rPr>
                <w:rFonts w:hint="eastAsia" w:ascii="宋体" w:hAnsi="宋体" w:cs="Times New Roman"/>
                <w:sz w:val="24"/>
                <w:szCs w:val="24"/>
              </w:rPr>
              <w:t>自定义报表系统</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r>
        <w:tblPrEx>
          <w:tblCellMar>
            <w:top w:w="0" w:type="dxa"/>
            <w:left w:w="108" w:type="dxa"/>
            <w:bottom w:w="0" w:type="dxa"/>
            <w:right w:w="108" w:type="dxa"/>
          </w:tblCellMar>
        </w:tblPrEx>
        <w:trPr>
          <w:trHeight w:val="433" w:hRule="atLeast"/>
          <w:jc w:val="center"/>
        </w:trPr>
        <w:tc>
          <w:tcPr>
            <w:tcW w:w="3270" w:type="pct"/>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宋体" w:hAnsi="宋体" w:cs="Times New Roman"/>
                <w:b/>
                <w:sz w:val="24"/>
                <w:szCs w:val="24"/>
              </w:rPr>
            </w:pPr>
            <w:r>
              <w:rPr>
                <w:rFonts w:hint="eastAsia" w:ascii="宋体" w:hAnsi="宋体" w:cs="Times New Roman"/>
                <w:b/>
                <w:sz w:val="24"/>
                <w:szCs w:val="24"/>
              </w:rPr>
              <w:t>站点总数</w:t>
            </w:r>
          </w:p>
        </w:tc>
        <w:tc>
          <w:tcPr>
            <w:tcW w:w="774" w:type="pct"/>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Times New Roman"/>
                <w:kern w:val="0"/>
                <w:sz w:val="24"/>
                <w:szCs w:val="24"/>
              </w:rPr>
            </w:pPr>
            <w:r>
              <w:rPr>
                <w:rFonts w:ascii="宋体" w:hAnsi="宋体" w:cs="Times New Roman"/>
                <w:kern w:val="0"/>
                <w:sz w:val="24"/>
                <w:szCs w:val="24"/>
              </w:rPr>
              <w:t>无限制</w:t>
            </w:r>
          </w:p>
        </w:tc>
        <w:tc>
          <w:tcPr>
            <w:tcW w:w="95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Times New Roman"/>
                <w:kern w:val="0"/>
                <w:sz w:val="24"/>
                <w:szCs w:val="24"/>
              </w:rPr>
            </w:pPr>
          </w:p>
        </w:tc>
      </w:tr>
    </w:tbl>
    <w:p>
      <w:pPr>
        <w:widowControl w:val="0"/>
        <w:spacing w:line="540" w:lineRule="exact"/>
        <w:rPr>
          <w:rFonts w:hint="eastAsia" w:ascii="方正仿宋_GBK" w:hAnsi="方正仿宋_GBK" w:eastAsia="方正仿宋_GBK" w:cs="方正仿宋_GBK"/>
          <w:sz w:val="32"/>
          <w:szCs w:val="32"/>
        </w:rPr>
      </w:pPr>
    </w:p>
    <w:p>
      <w:pPr>
        <w:widowControl w:val="0"/>
        <w:spacing w:line="540" w:lineRule="exact"/>
        <w:rPr>
          <w:rFonts w:hint="eastAsia" w:ascii="方正仿宋_GBK" w:hAnsi="方正仿宋_GBK" w:eastAsia="方正仿宋_GBK" w:cs="方正仿宋_GBK"/>
          <w:sz w:val="32"/>
          <w:szCs w:val="32"/>
        </w:rPr>
      </w:pPr>
    </w:p>
    <w:p>
      <w:pPr>
        <w:widowControl w:val="0"/>
        <w:spacing w:line="540" w:lineRule="exact"/>
        <w:rPr>
          <w:rFonts w:hint="eastAsia" w:ascii="方正仿宋_GBK" w:hAnsi="方正仿宋_GBK" w:eastAsia="方正仿宋_GBK" w:cs="方正仿宋_GBK"/>
          <w:sz w:val="32"/>
          <w:szCs w:val="32"/>
        </w:rPr>
      </w:pPr>
    </w:p>
    <w:p>
      <w:pPr>
        <w:pStyle w:val="5"/>
        <w:spacing w:line="240" w:lineRule="auto"/>
        <w:outlineLvl w:val="0"/>
        <w:rPr>
          <w:rFonts w:hint="eastAsia" w:ascii="方正仿宋_GBK" w:hAnsi="方正仿宋_GBK" w:eastAsia="方正仿宋_GBK" w:cs="方正仿宋_GBK"/>
          <w:b w:val="0"/>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b w:val="0"/>
          <w:color w:val="000000" w:themeColor="text1"/>
          <w:kern w:val="2"/>
          <w:sz w:val="32"/>
          <w:szCs w:val="32"/>
          <w:lang w:val="en-US" w:eastAsia="zh-CN" w:bidi="ar-SA"/>
          <w14:textFill>
            <w14:solidFill>
              <w14:schemeClr w14:val="tx1"/>
            </w14:solidFill>
          </w14:textFill>
        </w:rPr>
        <w:t>二、提供的服务项目</w:t>
      </w:r>
    </w:p>
    <w:tbl>
      <w:tblPr>
        <w:tblStyle w:val="12"/>
        <w:tblW w:w="8930" w:type="dxa"/>
        <w:jc w:val="center"/>
        <w:tblLayout w:type="autofit"/>
        <w:tblCellMar>
          <w:top w:w="0" w:type="dxa"/>
          <w:left w:w="108" w:type="dxa"/>
          <w:bottom w:w="0" w:type="dxa"/>
          <w:right w:w="108" w:type="dxa"/>
        </w:tblCellMar>
      </w:tblPr>
      <w:tblGrid>
        <w:gridCol w:w="1134"/>
        <w:gridCol w:w="850"/>
        <w:gridCol w:w="2126"/>
        <w:gridCol w:w="1130"/>
        <w:gridCol w:w="3690"/>
      </w:tblGrid>
      <w:tr>
        <w:tblPrEx>
          <w:tblCellMar>
            <w:top w:w="0" w:type="dxa"/>
            <w:left w:w="108" w:type="dxa"/>
            <w:bottom w:w="0" w:type="dxa"/>
            <w:right w:w="108" w:type="dxa"/>
          </w:tblCellMar>
        </w:tblPrEx>
        <w:trPr>
          <w:trHeight w:val="555" w:hRule="atLeast"/>
          <w:tblHeader/>
          <w:jc w:val="center"/>
        </w:trPr>
        <w:tc>
          <w:tcPr>
            <w:tcW w:w="1134" w:type="dxa"/>
            <w:tcBorders>
              <w:top w:val="double" w:color="auto" w:sz="6" w:space="0"/>
              <w:left w:val="double" w:color="auto" w:sz="6" w:space="0"/>
              <w:bottom w:val="single" w:color="auto" w:sz="4" w:space="0"/>
              <w:right w:val="single" w:color="auto" w:sz="4" w:space="0"/>
            </w:tcBorders>
            <w:shd w:val="clear" w:color="000000" w:fill="auto"/>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大类</w:t>
            </w:r>
          </w:p>
        </w:tc>
        <w:tc>
          <w:tcPr>
            <w:tcW w:w="850" w:type="dxa"/>
            <w:tcBorders>
              <w:top w:val="double" w:color="auto" w:sz="6" w:space="0"/>
              <w:left w:val="nil"/>
              <w:bottom w:val="single" w:color="auto" w:sz="4" w:space="0"/>
              <w:right w:val="single" w:color="auto" w:sz="4" w:space="0"/>
            </w:tcBorders>
            <w:shd w:val="clear" w:color="000000" w:fill="auto"/>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编号</w:t>
            </w:r>
          </w:p>
        </w:tc>
        <w:tc>
          <w:tcPr>
            <w:tcW w:w="2126" w:type="dxa"/>
            <w:tcBorders>
              <w:top w:val="double" w:color="auto" w:sz="6" w:space="0"/>
              <w:left w:val="nil"/>
              <w:bottom w:val="single" w:color="auto" w:sz="4" w:space="0"/>
              <w:right w:val="single" w:color="auto" w:sz="4" w:space="0"/>
            </w:tcBorders>
            <w:shd w:val="clear" w:color="000000" w:fill="auto"/>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产品</w:t>
            </w:r>
          </w:p>
        </w:tc>
        <w:tc>
          <w:tcPr>
            <w:tcW w:w="1130" w:type="dxa"/>
            <w:tcBorders>
              <w:top w:val="double" w:color="auto" w:sz="6" w:space="0"/>
              <w:left w:val="nil"/>
              <w:bottom w:val="single" w:color="auto" w:sz="4" w:space="0"/>
              <w:right w:val="single" w:color="auto" w:sz="4" w:space="0"/>
            </w:tcBorders>
            <w:shd w:val="clear" w:color="000000" w:fill="auto"/>
            <w:noWrap w:val="0"/>
            <w:vAlign w:val="center"/>
          </w:tcPr>
          <w:p>
            <w:pPr>
              <w:widowControl/>
              <w:ind w:left="0" w:leftChars="0" w:firstLine="0" w:firstLineChars="0"/>
              <w:jc w:val="both"/>
              <w:rPr>
                <w:rFonts w:ascii="宋体" w:hAnsi="宋体" w:cs="宋体"/>
                <w:b/>
                <w:bCs/>
                <w:kern w:val="0"/>
                <w:sz w:val="24"/>
                <w:szCs w:val="24"/>
              </w:rPr>
            </w:pPr>
            <w:r>
              <w:rPr>
                <w:rFonts w:hint="eastAsia" w:ascii="宋体" w:hAnsi="宋体" w:cs="宋体"/>
                <w:b/>
                <w:bCs/>
                <w:kern w:val="0"/>
                <w:sz w:val="24"/>
                <w:szCs w:val="24"/>
              </w:rPr>
              <w:t>服务方式</w:t>
            </w:r>
          </w:p>
        </w:tc>
        <w:tc>
          <w:tcPr>
            <w:tcW w:w="3690" w:type="dxa"/>
            <w:tcBorders>
              <w:top w:val="double" w:color="auto" w:sz="6" w:space="0"/>
              <w:left w:val="nil"/>
              <w:bottom w:val="single" w:color="auto" w:sz="4" w:space="0"/>
              <w:right w:val="double" w:color="auto" w:sz="6" w:space="0"/>
            </w:tcBorders>
            <w:shd w:val="clear" w:color="000000" w:fill="auto"/>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简要说明</w:t>
            </w:r>
          </w:p>
        </w:tc>
      </w:tr>
      <w:tr>
        <w:tblPrEx>
          <w:tblCellMar>
            <w:top w:w="0" w:type="dxa"/>
            <w:left w:w="108" w:type="dxa"/>
            <w:bottom w:w="0" w:type="dxa"/>
            <w:right w:w="108" w:type="dxa"/>
          </w:tblCellMar>
        </w:tblPrEx>
        <w:trPr>
          <w:trHeight w:val="555" w:hRule="atLeast"/>
          <w:jc w:val="center"/>
        </w:trPr>
        <w:tc>
          <w:tcPr>
            <w:tcW w:w="1134" w:type="dxa"/>
            <w:vMerge w:val="restart"/>
            <w:tcBorders>
              <w:top w:val="nil"/>
              <w:left w:val="double" w:color="auto" w:sz="6" w:space="0"/>
              <w:right w:val="single" w:color="auto" w:sz="4" w:space="0"/>
            </w:tcBorders>
            <w:noWrap w:val="0"/>
            <w:vAlign w:val="center"/>
          </w:tcPr>
          <w:p>
            <w:pPr>
              <w:widowControl/>
              <w:jc w:val="center"/>
              <w:rPr>
                <w:rFonts w:hint="eastAsia" w:ascii="Calibri" w:hAnsi="Calibri" w:cs="宋体"/>
                <w:b/>
                <w:kern w:val="0"/>
                <w:sz w:val="24"/>
                <w:szCs w:val="24"/>
              </w:rPr>
            </w:pPr>
            <w:r>
              <w:rPr>
                <w:rFonts w:hint="eastAsia" w:ascii="Calibri" w:hAnsi="Calibri" w:cs="宋体"/>
                <w:b/>
                <w:kern w:val="0"/>
                <w:sz w:val="24"/>
                <w:szCs w:val="24"/>
              </w:rPr>
              <w:t>咨询</w:t>
            </w:r>
          </w:p>
          <w:p>
            <w:pPr>
              <w:widowControl/>
              <w:jc w:val="center"/>
              <w:rPr>
                <w:rFonts w:hint="eastAsia" w:ascii="Calibri" w:hAnsi="Calibri" w:cs="宋体"/>
                <w:b/>
                <w:kern w:val="0"/>
                <w:sz w:val="24"/>
                <w:szCs w:val="24"/>
              </w:rPr>
            </w:pPr>
            <w:r>
              <w:rPr>
                <w:rFonts w:hint="eastAsia" w:ascii="Calibri" w:hAnsi="Calibri" w:cs="宋体"/>
                <w:b/>
                <w:kern w:val="0"/>
                <w:sz w:val="24"/>
                <w:szCs w:val="24"/>
              </w:rPr>
              <w:t>服务</w:t>
            </w:r>
          </w:p>
          <w:p>
            <w:pPr>
              <w:widowControl/>
              <w:jc w:val="center"/>
              <w:rPr>
                <w:rFonts w:hint="eastAsia" w:ascii="Calibri" w:hAnsi="Calibri" w:cs="宋体"/>
                <w:b/>
                <w:kern w:val="0"/>
                <w:sz w:val="24"/>
                <w:szCs w:val="24"/>
              </w:rPr>
            </w:pPr>
            <w:r>
              <w:rPr>
                <w:rFonts w:hint="eastAsia" w:ascii="Calibri" w:hAnsi="Calibri" w:cs="宋体"/>
                <w:b/>
                <w:kern w:val="0"/>
                <w:sz w:val="24"/>
                <w:szCs w:val="24"/>
              </w:rPr>
              <w:t>（A类）</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szCs w:val="24"/>
              </w:rPr>
            </w:pPr>
            <w:r>
              <w:rPr>
                <w:rFonts w:hint="eastAsia" w:ascii="Times New Roman" w:hAnsi="Times New Roman" w:cs="Times New Roman"/>
                <w:kern w:val="0"/>
                <w:sz w:val="24"/>
                <w:szCs w:val="24"/>
              </w:rPr>
              <w:t>A001</w:t>
            </w:r>
          </w:p>
        </w:tc>
        <w:tc>
          <w:tcPr>
            <w:tcW w:w="2126"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Times New Roman" w:hAnsi="Times New Roman" w:cs="Times New Roman"/>
                <w:kern w:val="0"/>
                <w:sz w:val="24"/>
                <w:szCs w:val="24"/>
              </w:rPr>
            </w:pPr>
            <w:r>
              <w:rPr>
                <w:rFonts w:hint="eastAsia" w:ascii="宋体" w:hAnsi="宋体" w:cs="Times New Roman"/>
                <w:kern w:val="0"/>
                <w:sz w:val="24"/>
                <w:szCs w:val="24"/>
              </w:rPr>
              <w:t>产品问题咨询</w:t>
            </w:r>
          </w:p>
        </w:tc>
        <w:tc>
          <w:tcPr>
            <w:tcW w:w="1130"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电话、邮件</w:t>
            </w:r>
          </w:p>
        </w:tc>
        <w:tc>
          <w:tcPr>
            <w:tcW w:w="3690" w:type="dxa"/>
            <w:tcBorders>
              <w:top w:val="nil"/>
              <w:left w:val="nil"/>
              <w:bottom w:val="single" w:color="auto" w:sz="4" w:space="0"/>
              <w:right w:val="double" w:color="auto" w:sz="6" w:space="0"/>
            </w:tcBorders>
            <w:noWrap w:val="0"/>
            <w:vAlign w:val="center"/>
          </w:tcPr>
          <w:p>
            <w:pPr>
              <w:widowControl/>
              <w:ind w:left="0" w:leftChars="0" w:firstLine="0" w:firstLineChars="0"/>
              <w:rPr>
                <w:rFonts w:ascii="宋体" w:hAnsi="宋体" w:cs="宋体"/>
                <w:kern w:val="0"/>
                <w:sz w:val="24"/>
                <w:szCs w:val="24"/>
              </w:rPr>
            </w:pPr>
            <w:r>
              <w:rPr>
                <w:rFonts w:hint="eastAsia" w:ascii="宋体" w:hAnsi="宋体" w:cs="宋体"/>
                <w:kern w:val="0"/>
                <w:sz w:val="24"/>
                <w:szCs w:val="24"/>
              </w:rPr>
              <w:t>提供产品应用相关咨询服务</w:t>
            </w:r>
          </w:p>
        </w:tc>
      </w:tr>
      <w:tr>
        <w:tblPrEx>
          <w:tblCellMar>
            <w:top w:w="0" w:type="dxa"/>
            <w:left w:w="108" w:type="dxa"/>
            <w:bottom w:w="0" w:type="dxa"/>
            <w:right w:w="108" w:type="dxa"/>
          </w:tblCellMar>
        </w:tblPrEx>
        <w:trPr>
          <w:trHeight w:val="555" w:hRule="atLeast"/>
          <w:jc w:val="center"/>
        </w:trPr>
        <w:tc>
          <w:tcPr>
            <w:tcW w:w="1134" w:type="dxa"/>
            <w:vMerge w:val="continue"/>
            <w:tcBorders>
              <w:left w:val="double" w:color="auto" w:sz="6" w:space="0"/>
              <w:right w:val="single" w:color="auto" w:sz="4" w:space="0"/>
            </w:tcBorders>
            <w:noWrap w:val="0"/>
            <w:vAlign w:val="center"/>
          </w:tcPr>
          <w:p>
            <w:pPr>
              <w:widowControl/>
              <w:jc w:val="center"/>
              <w:rPr>
                <w:rFonts w:ascii="Calibri" w:hAnsi="Calibri" w:cs="宋体"/>
                <w:b/>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szCs w:val="24"/>
              </w:rPr>
            </w:pPr>
            <w:r>
              <w:rPr>
                <w:rFonts w:hint="eastAsia" w:ascii="Times New Roman" w:hAnsi="Times New Roman" w:cs="Times New Roman"/>
                <w:kern w:val="0"/>
                <w:sz w:val="24"/>
                <w:szCs w:val="24"/>
              </w:rPr>
              <w:t>A002</w:t>
            </w:r>
          </w:p>
        </w:tc>
        <w:tc>
          <w:tcPr>
            <w:tcW w:w="2126"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其它信息化知识电话咨询服务</w:t>
            </w:r>
          </w:p>
        </w:tc>
        <w:tc>
          <w:tcPr>
            <w:tcW w:w="1130"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电话、邮件</w:t>
            </w:r>
          </w:p>
        </w:tc>
        <w:tc>
          <w:tcPr>
            <w:tcW w:w="3690" w:type="dxa"/>
            <w:tcBorders>
              <w:top w:val="nil"/>
              <w:left w:val="nil"/>
              <w:bottom w:val="single" w:color="auto" w:sz="4" w:space="0"/>
              <w:right w:val="double" w:color="auto" w:sz="6" w:space="0"/>
            </w:tcBorders>
            <w:noWrap w:val="0"/>
            <w:vAlign w:val="center"/>
          </w:tcPr>
          <w:p>
            <w:pPr>
              <w:widowControl/>
              <w:ind w:left="0" w:leftChars="0" w:firstLine="0" w:firstLineChars="0"/>
              <w:rPr>
                <w:rFonts w:ascii="宋体" w:hAnsi="宋体" w:cs="宋体"/>
                <w:kern w:val="0"/>
                <w:sz w:val="24"/>
                <w:szCs w:val="24"/>
              </w:rPr>
            </w:pPr>
            <w:r>
              <w:rPr>
                <w:rFonts w:hint="eastAsia" w:ascii="宋体" w:hAnsi="宋体" w:cs="宋体"/>
                <w:kern w:val="0"/>
                <w:sz w:val="24"/>
                <w:szCs w:val="24"/>
              </w:rPr>
              <w:t>中联产品以外的其它信息化相关知识的电话或邮件咨询</w:t>
            </w:r>
          </w:p>
        </w:tc>
      </w:tr>
      <w:tr>
        <w:tblPrEx>
          <w:tblCellMar>
            <w:top w:w="0" w:type="dxa"/>
            <w:left w:w="108" w:type="dxa"/>
            <w:bottom w:w="0" w:type="dxa"/>
            <w:right w:w="108" w:type="dxa"/>
          </w:tblCellMar>
        </w:tblPrEx>
        <w:trPr>
          <w:trHeight w:val="555" w:hRule="atLeast"/>
          <w:jc w:val="center"/>
        </w:trPr>
        <w:tc>
          <w:tcPr>
            <w:tcW w:w="1134" w:type="dxa"/>
            <w:vMerge w:val="continue"/>
            <w:tcBorders>
              <w:left w:val="double" w:color="auto" w:sz="6" w:space="0"/>
              <w:right w:val="single" w:color="auto" w:sz="4" w:space="0"/>
            </w:tcBorders>
            <w:noWrap w:val="0"/>
            <w:vAlign w:val="center"/>
          </w:tcPr>
          <w:p>
            <w:pPr>
              <w:widowControl/>
              <w:jc w:val="center"/>
              <w:rPr>
                <w:rFonts w:ascii="Calibri" w:hAnsi="Calibri" w:cs="宋体"/>
                <w:b/>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szCs w:val="24"/>
              </w:rPr>
            </w:pPr>
            <w:r>
              <w:rPr>
                <w:rFonts w:hint="eastAsia" w:ascii="Times New Roman" w:hAnsi="Times New Roman" w:cs="Times New Roman"/>
                <w:kern w:val="0"/>
                <w:sz w:val="24"/>
                <w:szCs w:val="24"/>
              </w:rPr>
              <w:t>A003</w:t>
            </w:r>
          </w:p>
        </w:tc>
        <w:tc>
          <w:tcPr>
            <w:tcW w:w="2126"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信息系统建设咨询</w:t>
            </w:r>
          </w:p>
        </w:tc>
        <w:tc>
          <w:tcPr>
            <w:tcW w:w="1130"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电话、传真、邮件</w:t>
            </w:r>
          </w:p>
        </w:tc>
        <w:tc>
          <w:tcPr>
            <w:tcW w:w="3690" w:type="dxa"/>
            <w:tcBorders>
              <w:top w:val="nil"/>
              <w:left w:val="nil"/>
              <w:bottom w:val="single" w:color="auto" w:sz="4" w:space="0"/>
              <w:right w:val="double" w:color="auto" w:sz="6" w:space="0"/>
            </w:tcBorders>
            <w:noWrap w:val="0"/>
            <w:vAlign w:val="center"/>
          </w:tcPr>
          <w:p>
            <w:pPr>
              <w:widowControl/>
              <w:ind w:left="0" w:leftChars="0" w:firstLine="0" w:firstLineChars="0"/>
              <w:rPr>
                <w:rFonts w:ascii="宋体" w:hAnsi="宋体" w:cs="宋体"/>
                <w:kern w:val="0"/>
                <w:sz w:val="24"/>
                <w:szCs w:val="24"/>
              </w:rPr>
            </w:pPr>
            <w:r>
              <w:rPr>
                <w:rFonts w:hint="eastAsia" w:ascii="宋体" w:hAnsi="宋体" w:cs="宋体"/>
                <w:kern w:val="0"/>
                <w:sz w:val="24"/>
                <w:szCs w:val="24"/>
              </w:rPr>
              <w:t>结合医院实际情况，提供信息系统建设规划建议与方案咨询服务</w:t>
            </w:r>
          </w:p>
        </w:tc>
      </w:tr>
      <w:tr>
        <w:tblPrEx>
          <w:tblCellMar>
            <w:top w:w="0" w:type="dxa"/>
            <w:left w:w="108" w:type="dxa"/>
            <w:bottom w:w="0" w:type="dxa"/>
            <w:right w:w="108" w:type="dxa"/>
          </w:tblCellMar>
        </w:tblPrEx>
        <w:trPr>
          <w:trHeight w:val="555" w:hRule="atLeast"/>
          <w:jc w:val="center"/>
        </w:trPr>
        <w:tc>
          <w:tcPr>
            <w:tcW w:w="1134" w:type="dxa"/>
            <w:vMerge w:val="continue"/>
            <w:tcBorders>
              <w:left w:val="double" w:color="auto" w:sz="6" w:space="0"/>
              <w:bottom w:val="single" w:color="000000" w:sz="4" w:space="0"/>
              <w:right w:val="single" w:color="auto" w:sz="4" w:space="0"/>
            </w:tcBorders>
            <w:noWrap w:val="0"/>
            <w:vAlign w:val="center"/>
          </w:tcPr>
          <w:p>
            <w:pPr>
              <w:widowControl/>
              <w:jc w:val="center"/>
              <w:rPr>
                <w:rFonts w:ascii="Calibri" w:hAnsi="Calibri" w:cs="宋体"/>
                <w:b/>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szCs w:val="24"/>
              </w:rPr>
            </w:pPr>
            <w:r>
              <w:rPr>
                <w:rFonts w:hint="eastAsia" w:ascii="Times New Roman" w:hAnsi="Times New Roman" w:cs="Times New Roman"/>
                <w:kern w:val="0"/>
                <w:sz w:val="24"/>
                <w:szCs w:val="24"/>
              </w:rPr>
              <w:t>A004</w:t>
            </w:r>
          </w:p>
        </w:tc>
        <w:tc>
          <w:tcPr>
            <w:tcW w:w="2126"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中联论坛服务</w:t>
            </w:r>
          </w:p>
        </w:tc>
        <w:tc>
          <w:tcPr>
            <w:tcW w:w="1130"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网络</w:t>
            </w:r>
          </w:p>
        </w:tc>
        <w:tc>
          <w:tcPr>
            <w:tcW w:w="3690" w:type="dxa"/>
            <w:tcBorders>
              <w:top w:val="nil"/>
              <w:left w:val="nil"/>
              <w:bottom w:val="single" w:color="auto" w:sz="4" w:space="0"/>
              <w:right w:val="double" w:color="auto" w:sz="6" w:space="0"/>
            </w:tcBorders>
            <w:noWrap w:val="0"/>
            <w:vAlign w:val="center"/>
          </w:tcPr>
          <w:p>
            <w:pPr>
              <w:widowControl/>
              <w:ind w:left="0" w:leftChars="0" w:firstLine="0" w:firstLineChars="0"/>
              <w:rPr>
                <w:rFonts w:ascii="宋体" w:hAnsi="宋体" w:cs="宋体"/>
                <w:kern w:val="0"/>
                <w:sz w:val="24"/>
                <w:szCs w:val="24"/>
              </w:rPr>
            </w:pPr>
            <w:r>
              <w:rPr>
                <w:rFonts w:hint="eastAsia" w:ascii="宋体" w:hAnsi="宋体" w:cs="宋体"/>
                <w:kern w:val="0"/>
                <w:sz w:val="24"/>
                <w:szCs w:val="24"/>
              </w:rPr>
              <w:t>提供中联论坛服务，作为交流、学习网络平台，每天都安排有专业的技术工程师和管理人员</w:t>
            </w:r>
            <w:r>
              <w:rPr>
                <w:rFonts w:hint="eastAsia" w:ascii="宋体" w:hAnsi="宋体" w:cs="宋体"/>
                <w:kern w:val="0"/>
                <w:sz w:val="24"/>
                <w:szCs w:val="24"/>
                <w:lang w:val="en-US" w:eastAsia="zh-CN"/>
              </w:rPr>
              <w:t>进行</w:t>
            </w:r>
            <w:r>
              <w:rPr>
                <w:rFonts w:hint="eastAsia" w:ascii="宋体" w:hAnsi="宋体" w:cs="宋体"/>
                <w:kern w:val="0"/>
                <w:sz w:val="24"/>
                <w:szCs w:val="24"/>
              </w:rPr>
              <w:t>解答</w:t>
            </w:r>
          </w:p>
        </w:tc>
      </w:tr>
      <w:tr>
        <w:tblPrEx>
          <w:tblCellMar>
            <w:top w:w="0" w:type="dxa"/>
            <w:left w:w="108" w:type="dxa"/>
            <w:bottom w:w="0" w:type="dxa"/>
            <w:right w:w="108" w:type="dxa"/>
          </w:tblCellMar>
        </w:tblPrEx>
        <w:trPr>
          <w:trHeight w:val="555" w:hRule="atLeast"/>
          <w:jc w:val="center"/>
        </w:trPr>
        <w:tc>
          <w:tcPr>
            <w:tcW w:w="1134" w:type="dxa"/>
            <w:vMerge w:val="restart"/>
            <w:tcBorders>
              <w:top w:val="nil"/>
              <w:left w:val="double" w:color="auto" w:sz="6" w:space="0"/>
              <w:bottom w:val="single" w:color="000000" w:sz="4" w:space="0"/>
              <w:right w:val="single" w:color="auto" w:sz="4" w:space="0"/>
            </w:tcBorders>
            <w:noWrap w:val="0"/>
            <w:vAlign w:val="center"/>
          </w:tcPr>
          <w:p>
            <w:pPr>
              <w:widowControl/>
              <w:jc w:val="center"/>
              <w:rPr>
                <w:rFonts w:ascii="Calibri" w:hAnsi="Calibri" w:cs="宋体"/>
                <w:b/>
                <w:kern w:val="0"/>
                <w:sz w:val="24"/>
                <w:szCs w:val="24"/>
              </w:rPr>
            </w:pPr>
            <w:r>
              <w:rPr>
                <w:rFonts w:hint="eastAsia" w:ascii="宋体" w:hAnsi="宋体" w:cs="宋体"/>
                <w:b/>
                <w:kern w:val="0"/>
                <w:sz w:val="24"/>
                <w:szCs w:val="24"/>
              </w:rPr>
              <w:t>产品问题处理</w:t>
            </w:r>
            <w:r>
              <w:rPr>
                <w:rFonts w:hint="eastAsia" w:ascii="宋体" w:hAnsi="宋体" w:cs="宋体"/>
                <w:b/>
                <w:kern w:val="0"/>
                <w:sz w:val="24"/>
                <w:szCs w:val="24"/>
              </w:rPr>
              <w:br w:type="textWrapping"/>
            </w:r>
            <w:r>
              <w:rPr>
                <w:rFonts w:ascii="Calibri" w:hAnsi="Calibri" w:cs="宋体"/>
                <w:b/>
                <w:kern w:val="0"/>
                <w:sz w:val="24"/>
                <w:szCs w:val="24"/>
              </w:rPr>
              <w:t>(B</w:t>
            </w:r>
            <w:r>
              <w:rPr>
                <w:rFonts w:hint="eastAsia" w:ascii="Calibri" w:hAnsi="Calibri" w:cs="宋体"/>
                <w:b/>
                <w:kern w:val="0"/>
                <w:sz w:val="24"/>
                <w:szCs w:val="24"/>
              </w:rPr>
              <w:t>类</w:t>
            </w:r>
            <w:r>
              <w:rPr>
                <w:rFonts w:ascii="Calibri" w:hAnsi="Calibri" w:cs="宋体"/>
                <w:b/>
                <w:kern w:val="0"/>
                <w:sz w:val="24"/>
                <w:szCs w:val="24"/>
              </w:rPr>
              <w:t>)</w:t>
            </w:r>
          </w:p>
        </w:tc>
        <w:tc>
          <w:tcPr>
            <w:tcW w:w="850" w:type="dxa"/>
            <w:tcBorders>
              <w:top w:val="nil"/>
              <w:left w:val="nil"/>
              <w:bottom w:val="single" w:color="auto" w:sz="4" w:space="0"/>
              <w:right w:val="single" w:color="auto" w:sz="4" w:space="0"/>
            </w:tcBorders>
            <w:noWrap w:val="0"/>
            <w:vAlign w:val="center"/>
          </w:tcPr>
          <w:p>
            <w:pPr>
              <w:widowControl/>
              <w:jc w:val="center"/>
              <w:rPr>
                <w:rFonts w:ascii="Calibri" w:hAnsi="Calibri" w:cs="宋体"/>
                <w:kern w:val="0"/>
                <w:sz w:val="24"/>
                <w:szCs w:val="24"/>
              </w:rPr>
            </w:pPr>
            <w:r>
              <w:rPr>
                <w:rFonts w:ascii="Calibri" w:hAnsi="Calibri" w:cs="宋体"/>
                <w:kern w:val="0"/>
                <w:sz w:val="24"/>
                <w:szCs w:val="24"/>
              </w:rPr>
              <w:t>B</w:t>
            </w:r>
            <w:r>
              <w:rPr>
                <w:rFonts w:hint="eastAsia" w:ascii="Calibri" w:hAnsi="Calibri" w:cs="宋体"/>
                <w:kern w:val="0"/>
                <w:sz w:val="24"/>
                <w:szCs w:val="24"/>
              </w:rPr>
              <w:t>001</w:t>
            </w:r>
          </w:p>
        </w:tc>
        <w:tc>
          <w:tcPr>
            <w:tcW w:w="2126"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产品安装服务</w:t>
            </w:r>
          </w:p>
        </w:tc>
        <w:tc>
          <w:tcPr>
            <w:tcW w:w="1130"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现场、远程</w:t>
            </w:r>
          </w:p>
        </w:tc>
        <w:tc>
          <w:tcPr>
            <w:tcW w:w="3690" w:type="dxa"/>
            <w:tcBorders>
              <w:top w:val="nil"/>
              <w:left w:val="nil"/>
              <w:bottom w:val="single" w:color="auto" w:sz="4" w:space="0"/>
              <w:right w:val="double" w:color="auto" w:sz="6" w:space="0"/>
            </w:tcBorders>
            <w:noWrap w:val="0"/>
            <w:vAlign w:val="center"/>
          </w:tcPr>
          <w:p>
            <w:pPr>
              <w:widowControl/>
              <w:ind w:left="0" w:leftChars="0" w:firstLine="0" w:firstLineChars="0"/>
              <w:rPr>
                <w:rFonts w:ascii="宋体" w:hAnsi="宋体" w:cs="宋体"/>
                <w:kern w:val="0"/>
                <w:sz w:val="24"/>
                <w:szCs w:val="24"/>
              </w:rPr>
            </w:pPr>
            <w:r>
              <w:rPr>
                <w:rFonts w:hint="eastAsia" w:ascii="宋体" w:hAnsi="宋体" w:cs="宋体"/>
                <w:kern w:val="0"/>
                <w:sz w:val="24"/>
                <w:szCs w:val="24"/>
              </w:rPr>
              <w:t>在医院客户端环境损坏或小版本升级的情况下，给医院安装客户端，此服务不包含操作系统、驱动程序安装。</w:t>
            </w:r>
          </w:p>
        </w:tc>
      </w:tr>
      <w:tr>
        <w:tblPrEx>
          <w:tblCellMar>
            <w:top w:w="0" w:type="dxa"/>
            <w:left w:w="108" w:type="dxa"/>
            <w:bottom w:w="0" w:type="dxa"/>
            <w:right w:w="108" w:type="dxa"/>
          </w:tblCellMar>
        </w:tblPrEx>
        <w:trPr>
          <w:trHeight w:val="555" w:hRule="atLeast"/>
          <w:jc w:val="center"/>
        </w:trPr>
        <w:tc>
          <w:tcPr>
            <w:tcW w:w="1134" w:type="dxa"/>
            <w:vMerge w:val="continue"/>
            <w:tcBorders>
              <w:top w:val="nil"/>
              <w:left w:val="double" w:color="auto" w:sz="6" w:space="0"/>
              <w:bottom w:val="single" w:color="000000" w:sz="4" w:space="0"/>
              <w:right w:val="single" w:color="auto" w:sz="4" w:space="0"/>
            </w:tcBorders>
            <w:noWrap w:val="0"/>
            <w:vAlign w:val="center"/>
          </w:tcPr>
          <w:p>
            <w:pPr>
              <w:widowControl/>
              <w:jc w:val="left"/>
              <w:rPr>
                <w:rFonts w:ascii="Calibri" w:hAnsi="Calibri" w:cs="宋体"/>
                <w:b/>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jc w:val="center"/>
              <w:rPr>
                <w:rFonts w:ascii="Calibri" w:hAnsi="Calibri" w:cs="宋体"/>
                <w:kern w:val="0"/>
                <w:sz w:val="24"/>
                <w:szCs w:val="24"/>
              </w:rPr>
            </w:pPr>
            <w:r>
              <w:rPr>
                <w:rFonts w:ascii="Calibri" w:hAnsi="Calibri" w:cs="宋体"/>
                <w:kern w:val="0"/>
                <w:sz w:val="24"/>
                <w:szCs w:val="24"/>
              </w:rPr>
              <w:t>B</w:t>
            </w:r>
            <w:r>
              <w:rPr>
                <w:rFonts w:hint="eastAsia" w:ascii="Calibri" w:hAnsi="Calibri" w:cs="宋体"/>
                <w:kern w:val="0"/>
                <w:sz w:val="24"/>
                <w:szCs w:val="24"/>
              </w:rPr>
              <w:t>002</w:t>
            </w:r>
          </w:p>
        </w:tc>
        <w:tc>
          <w:tcPr>
            <w:tcW w:w="2126"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Calibri" w:hAnsi="Calibri" w:cs="宋体"/>
                <w:kern w:val="0"/>
                <w:sz w:val="24"/>
                <w:szCs w:val="24"/>
              </w:rPr>
            </w:pPr>
            <w:r>
              <w:rPr>
                <w:rFonts w:hint="eastAsia" w:ascii="宋体" w:hAnsi="宋体" w:cs="宋体"/>
                <w:kern w:val="0"/>
                <w:sz w:val="24"/>
                <w:szCs w:val="24"/>
              </w:rPr>
              <w:t>升级安装服务</w:t>
            </w:r>
          </w:p>
        </w:tc>
        <w:tc>
          <w:tcPr>
            <w:tcW w:w="1130"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现场、远程</w:t>
            </w:r>
          </w:p>
        </w:tc>
        <w:tc>
          <w:tcPr>
            <w:tcW w:w="3690" w:type="dxa"/>
            <w:tcBorders>
              <w:top w:val="nil"/>
              <w:left w:val="nil"/>
              <w:bottom w:val="single" w:color="auto" w:sz="4" w:space="0"/>
              <w:right w:val="double" w:color="auto" w:sz="6" w:space="0"/>
            </w:tcBorders>
            <w:noWrap w:val="0"/>
            <w:vAlign w:val="center"/>
          </w:tcPr>
          <w:p>
            <w:pPr>
              <w:widowControl/>
              <w:ind w:left="0" w:leftChars="0" w:firstLine="0" w:firstLineChars="0"/>
              <w:rPr>
                <w:rFonts w:ascii="Calibri" w:hAnsi="Calibri" w:cs="宋体"/>
                <w:kern w:val="0"/>
                <w:sz w:val="24"/>
                <w:szCs w:val="24"/>
              </w:rPr>
            </w:pPr>
            <w:r>
              <w:rPr>
                <w:rFonts w:hint="eastAsia" w:ascii="宋体" w:hAnsi="宋体" w:cs="宋体"/>
                <w:kern w:val="0"/>
                <w:sz w:val="24"/>
                <w:szCs w:val="24"/>
              </w:rPr>
              <w:t>版本升级</w:t>
            </w:r>
          </w:p>
        </w:tc>
      </w:tr>
      <w:tr>
        <w:tblPrEx>
          <w:tblCellMar>
            <w:top w:w="0" w:type="dxa"/>
            <w:left w:w="108" w:type="dxa"/>
            <w:bottom w:w="0" w:type="dxa"/>
            <w:right w:w="108" w:type="dxa"/>
          </w:tblCellMar>
        </w:tblPrEx>
        <w:trPr>
          <w:trHeight w:val="555" w:hRule="atLeast"/>
          <w:jc w:val="center"/>
        </w:trPr>
        <w:tc>
          <w:tcPr>
            <w:tcW w:w="1134" w:type="dxa"/>
            <w:vMerge w:val="continue"/>
            <w:tcBorders>
              <w:top w:val="nil"/>
              <w:left w:val="double" w:color="auto" w:sz="6" w:space="0"/>
              <w:bottom w:val="single" w:color="000000" w:sz="4" w:space="0"/>
              <w:right w:val="single" w:color="auto" w:sz="4" w:space="0"/>
            </w:tcBorders>
            <w:noWrap w:val="0"/>
            <w:vAlign w:val="center"/>
          </w:tcPr>
          <w:p>
            <w:pPr>
              <w:widowControl/>
              <w:jc w:val="left"/>
              <w:rPr>
                <w:rFonts w:ascii="Calibri" w:hAnsi="Calibri" w:cs="宋体"/>
                <w:b/>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B</w:t>
            </w:r>
            <w:r>
              <w:rPr>
                <w:rFonts w:hint="eastAsia" w:ascii="Times New Roman" w:hAnsi="Times New Roman" w:cs="Times New Roman"/>
                <w:kern w:val="0"/>
                <w:sz w:val="24"/>
                <w:szCs w:val="24"/>
              </w:rPr>
              <w:t>003</w:t>
            </w:r>
          </w:p>
        </w:tc>
        <w:tc>
          <w:tcPr>
            <w:tcW w:w="2126"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报表修改</w:t>
            </w:r>
          </w:p>
        </w:tc>
        <w:tc>
          <w:tcPr>
            <w:tcW w:w="1130"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现场、远程</w:t>
            </w:r>
          </w:p>
        </w:tc>
        <w:tc>
          <w:tcPr>
            <w:tcW w:w="3690" w:type="dxa"/>
            <w:tcBorders>
              <w:top w:val="nil"/>
              <w:left w:val="nil"/>
              <w:bottom w:val="single" w:color="auto" w:sz="4" w:space="0"/>
              <w:right w:val="double" w:color="auto" w:sz="6" w:space="0"/>
            </w:tcBorders>
            <w:noWrap w:val="0"/>
            <w:vAlign w:val="center"/>
          </w:tcPr>
          <w:p>
            <w:pPr>
              <w:widowControl/>
              <w:ind w:left="0" w:leftChars="0" w:firstLine="0" w:firstLineChars="0"/>
              <w:rPr>
                <w:rFonts w:ascii="宋体" w:hAnsi="宋体" w:cs="宋体"/>
                <w:kern w:val="0"/>
                <w:sz w:val="24"/>
                <w:szCs w:val="24"/>
              </w:rPr>
            </w:pPr>
            <w:r>
              <w:rPr>
                <w:rFonts w:hint="eastAsia" w:ascii="宋体" w:hAnsi="宋体" w:cs="宋体"/>
                <w:kern w:val="0"/>
                <w:sz w:val="24"/>
                <w:szCs w:val="24"/>
              </w:rPr>
              <w:t>由于业务需要对已有报表格式、内容进行修改。</w:t>
            </w:r>
          </w:p>
        </w:tc>
      </w:tr>
      <w:tr>
        <w:tblPrEx>
          <w:tblCellMar>
            <w:top w:w="0" w:type="dxa"/>
            <w:left w:w="108" w:type="dxa"/>
            <w:bottom w:w="0" w:type="dxa"/>
            <w:right w:w="108" w:type="dxa"/>
          </w:tblCellMar>
        </w:tblPrEx>
        <w:trPr>
          <w:trHeight w:val="555" w:hRule="atLeast"/>
          <w:jc w:val="center"/>
        </w:trPr>
        <w:tc>
          <w:tcPr>
            <w:tcW w:w="1134" w:type="dxa"/>
            <w:vMerge w:val="continue"/>
            <w:tcBorders>
              <w:top w:val="nil"/>
              <w:left w:val="double" w:color="auto" w:sz="6" w:space="0"/>
              <w:bottom w:val="single" w:color="000000" w:sz="4" w:space="0"/>
              <w:right w:val="single" w:color="auto" w:sz="4" w:space="0"/>
            </w:tcBorders>
            <w:noWrap w:val="0"/>
            <w:vAlign w:val="center"/>
          </w:tcPr>
          <w:p>
            <w:pPr>
              <w:widowControl/>
              <w:jc w:val="left"/>
              <w:rPr>
                <w:rFonts w:ascii="Calibri" w:hAnsi="Calibri" w:cs="宋体"/>
                <w:b/>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jc w:val="center"/>
              <w:rPr>
                <w:rFonts w:ascii="Calibri" w:hAnsi="Calibri" w:cs="宋体"/>
                <w:kern w:val="0"/>
                <w:sz w:val="24"/>
                <w:szCs w:val="24"/>
              </w:rPr>
            </w:pPr>
            <w:r>
              <w:rPr>
                <w:rFonts w:ascii="Calibri" w:hAnsi="Calibri" w:cs="宋体"/>
                <w:kern w:val="0"/>
                <w:sz w:val="24"/>
                <w:szCs w:val="24"/>
              </w:rPr>
              <w:t>B</w:t>
            </w:r>
            <w:r>
              <w:rPr>
                <w:rFonts w:hint="eastAsia" w:ascii="Calibri" w:hAnsi="Calibri" w:cs="宋体"/>
                <w:kern w:val="0"/>
                <w:sz w:val="24"/>
                <w:szCs w:val="24"/>
              </w:rPr>
              <w:t>004</w:t>
            </w:r>
          </w:p>
        </w:tc>
        <w:tc>
          <w:tcPr>
            <w:tcW w:w="2126"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票据修改服务</w:t>
            </w:r>
          </w:p>
        </w:tc>
        <w:tc>
          <w:tcPr>
            <w:tcW w:w="1130"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现场、远程</w:t>
            </w:r>
          </w:p>
        </w:tc>
        <w:tc>
          <w:tcPr>
            <w:tcW w:w="3690" w:type="dxa"/>
            <w:tcBorders>
              <w:top w:val="nil"/>
              <w:left w:val="nil"/>
              <w:bottom w:val="single" w:color="auto" w:sz="4" w:space="0"/>
              <w:right w:val="double" w:color="auto" w:sz="6" w:space="0"/>
            </w:tcBorders>
            <w:noWrap w:val="0"/>
            <w:vAlign w:val="center"/>
          </w:tcPr>
          <w:p>
            <w:pPr>
              <w:widowControl/>
              <w:ind w:left="0" w:leftChars="0" w:firstLine="0" w:firstLineChars="0"/>
              <w:rPr>
                <w:rFonts w:ascii="宋体" w:hAnsi="宋体" w:cs="宋体"/>
                <w:kern w:val="0"/>
                <w:sz w:val="24"/>
                <w:szCs w:val="24"/>
              </w:rPr>
            </w:pPr>
            <w:r>
              <w:rPr>
                <w:rFonts w:hint="eastAsia" w:ascii="宋体" w:hAnsi="宋体" w:cs="宋体"/>
                <w:kern w:val="0"/>
                <w:sz w:val="24"/>
                <w:szCs w:val="24"/>
              </w:rPr>
              <w:t>包括门诊、住院医疗费收据的格式调整。</w:t>
            </w:r>
          </w:p>
        </w:tc>
      </w:tr>
      <w:tr>
        <w:tblPrEx>
          <w:tblCellMar>
            <w:top w:w="0" w:type="dxa"/>
            <w:left w:w="108" w:type="dxa"/>
            <w:bottom w:w="0" w:type="dxa"/>
            <w:right w:w="108" w:type="dxa"/>
          </w:tblCellMar>
        </w:tblPrEx>
        <w:trPr>
          <w:trHeight w:val="555" w:hRule="atLeast"/>
          <w:jc w:val="center"/>
        </w:trPr>
        <w:tc>
          <w:tcPr>
            <w:tcW w:w="1134" w:type="dxa"/>
            <w:vMerge w:val="continue"/>
            <w:tcBorders>
              <w:top w:val="nil"/>
              <w:left w:val="double" w:color="auto" w:sz="6" w:space="0"/>
              <w:bottom w:val="single" w:color="000000" w:sz="4" w:space="0"/>
              <w:right w:val="single" w:color="auto" w:sz="4" w:space="0"/>
            </w:tcBorders>
            <w:noWrap w:val="0"/>
            <w:vAlign w:val="center"/>
          </w:tcPr>
          <w:p>
            <w:pPr>
              <w:widowControl/>
              <w:jc w:val="left"/>
              <w:rPr>
                <w:rFonts w:ascii="Calibri" w:hAnsi="Calibri" w:cs="宋体"/>
                <w:b/>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jc w:val="center"/>
              <w:rPr>
                <w:rFonts w:ascii="Calibri" w:hAnsi="Calibri" w:cs="宋体"/>
                <w:kern w:val="0"/>
                <w:sz w:val="24"/>
                <w:szCs w:val="24"/>
              </w:rPr>
            </w:pPr>
            <w:r>
              <w:rPr>
                <w:rFonts w:ascii="Calibri" w:hAnsi="Calibri" w:cs="宋体"/>
                <w:kern w:val="0"/>
                <w:sz w:val="24"/>
                <w:szCs w:val="24"/>
              </w:rPr>
              <w:t>B</w:t>
            </w:r>
            <w:r>
              <w:rPr>
                <w:rFonts w:hint="eastAsia" w:ascii="Calibri" w:hAnsi="Calibri" w:cs="宋体"/>
                <w:kern w:val="0"/>
                <w:sz w:val="24"/>
                <w:szCs w:val="24"/>
              </w:rPr>
              <w:t>005</w:t>
            </w:r>
          </w:p>
        </w:tc>
        <w:tc>
          <w:tcPr>
            <w:tcW w:w="2126" w:type="dxa"/>
            <w:tcBorders>
              <w:top w:val="nil"/>
              <w:left w:val="nil"/>
              <w:bottom w:val="single" w:color="auto" w:sz="4" w:space="0"/>
              <w:right w:val="single" w:color="auto" w:sz="4" w:space="0"/>
            </w:tcBorders>
            <w:noWrap w:val="0"/>
            <w:vAlign w:val="center"/>
          </w:tcPr>
          <w:p>
            <w:pPr>
              <w:widowControl/>
              <w:jc w:val="center"/>
              <w:rPr>
                <w:rFonts w:ascii="Calibri" w:hAnsi="Calibri" w:cs="宋体"/>
                <w:kern w:val="0"/>
                <w:sz w:val="24"/>
                <w:szCs w:val="24"/>
              </w:rPr>
            </w:pPr>
            <w:r>
              <w:rPr>
                <w:rFonts w:hint="eastAsia" w:ascii="宋体" w:hAnsi="宋体" w:cs="宋体"/>
                <w:kern w:val="0"/>
                <w:sz w:val="24"/>
                <w:szCs w:val="24"/>
              </w:rPr>
              <w:t>产品故障处理（现场）</w:t>
            </w:r>
          </w:p>
        </w:tc>
        <w:tc>
          <w:tcPr>
            <w:tcW w:w="1130"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现场</w:t>
            </w:r>
          </w:p>
        </w:tc>
        <w:tc>
          <w:tcPr>
            <w:tcW w:w="3690" w:type="dxa"/>
            <w:tcBorders>
              <w:top w:val="nil"/>
              <w:left w:val="nil"/>
              <w:bottom w:val="single" w:color="auto" w:sz="4" w:space="0"/>
              <w:right w:val="double" w:color="auto" w:sz="6" w:space="0"/>
            </w:tcBorders>
            <w:noWrap w:val="0"/>
            <w:vAlign w:val="center"/>
          </w:tcPr>
          <w:p>
            <w:pPr>
              <w:widowControl/>
              <w:ind w:left="0" w:leftChars="0" w:firstLine="0" w:firstLineChars="0"/>
              <w:rPr>
                <w:rFonts w:ascii="Calibri" w:hAnsi="Calibri" w:cs="宋体"/>
                <w:kern w:val="0"/>
                <w:sz w:val="24"/>
                <w:szCs w:val="24"/>
              </w:rPr>
            </w:pPr>
            <w:r>
              <w:rPr>
                <w:rFonts w:hint="eastAsia" w:ascii="宋体" w:hAnsi="宋体" w:cs="宋体"/>
                <w:kern w:val="0"/>
                <w:sz w:val="24"/>
                <w:szCs w:val="24"/>
              </w:rPr>
              <w:t>程序性错误；程序造成错误造成数据问题</w:t>
            </w:r>
          </w:p>
        </w:tc>
      </w:tr>
      <w:tr>
        <w:tblPrEx>
          <w:tblCellMar>
            <w:top w:w="0" w:type="dxa"/>
            <w:left w:w="108" w:type="dxa"/>
            <w:bottom w:w="0" w:type="dxa"/>
            <w:right w:w="108" w:type="dxa"/>
          </w:tblCellMar>
        </w:tblPrEx>
        <w:trPr>
          <w:trHeight w:val="555" w:hRule="atLeast"/>
          <w:jc w:val="center"/>
        </w:trPr>
        <w:tc>
          <w:tcPr>
            <w:tcW w:w="1134" w:type="dxa"/>
            <w:vMerge w:val="continue"/>
            <w:tcBorders>
              <w:top w:val="nil"/>
              <w:left w:val="double" w:color="auto" w:sz="6" w:space="0"/>
              <w:bottom w:val="single" w:color="000000" w:sz="4" w:space="0"/>
              <w:right w:val="single" w:color="auto" w:sz="4" w:space="0"/>
            </w:tcBorders>
            <w:noWrap w:val="0"/>
            <w:vAlign w:val="center"/>
          </w:tcPr>
          <w:p>
            <w:pPr>
              <w:widowControl/>
              <w:jc w:val="left"/>
              <w:rPr>
                <w:rFonts w:ascii="Calibri" w:hAnsi="Calibri" w:cs="宋体"/>
                <w:b/>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szCs w:val="24"/>
              </w:rPr>
            </w:pPr>
            <w:r>
              <w:rPr>
                <w:rFonts w:ascii="Times New Roman" w:hAnsi="Times New Roman" w:cs="Times New Roman"/>
                <w:kern w:val="0"/>
                <w:sz w:val="24"/>
                <w:szCs w:val="24"/>
              </w:rPr>
              <w:t>B</w:t>
            </w:r>
            <w:r>
              <w:rPr>
                <w:rFonts w:hint="eastAsia" w:ascii="Times New Roman" w:hAnsi="Times New Roman" w:cs="Times New Roman"/>
                <w:kern w:val="0"/>
                <w:sz w:val="24"/>
                <w:szCs w:val="24"/>
              </w:rPr>
              <w:t>006</w:t>
            </w:r>
          </w:p>
        </w:tc>
        <w:tc>
          <w:tcPr>
            <w:tcW w:w="2126" w:type="dxa"/>
            <w:tcBorders>
              <w:top w:val="nil"/>
              <w:left w:val="nil"/>
              <w:bottom w:val="single" w:color="auto" w:sz="4" w:space="0"/>
              <w:right w:val="single" w:color="auto" w:sz="4" w:space="0"/>
            </w:tcBorders>
            <w:noWrap w:val="0"/>
            <w:vAlign w:val="center"/>
          </w:tcPr>
          <w:p>
            <w:pPr>
              <w:widowControl/>
              <w:jc w:val="center"/>
              <w:rPr>
                <w:rFonts w:ascii="Calibri" w:hAnsi="Calibri" w:cs="宋体"/>
                <w:kern w:val="0"/>
                <w:sz w:val="24"/>
                <w:szCs w:val="24"/>
              </w:rPr>
            </w:pPr>
            <w:r>
              <w:rPr>
                <w:rFonts w:hint="eastAsia" w:ascii="宋体" w:hAnsi="宋体" w:cs="宋体"/>
                <w:kern w:val="0"/>
                <w:sz w:val="24"/>
                <w:szCs w:val="24"/>
              </w:rPr>
              <w:t>产品故障处理（远程）</w:t>
            </w:r>
          </w:p>
        </w:tc>
        <w:tc>
          <w:tcPr>
            <w:tcW w:w="1130"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远程</w:t>
            </w:r>
          </w:p>
        </w:tc>
        <w:tc>
          <w:tcPr>
            <w:tcW w:w="3690" w:type="dxa"/>
            <w:tcBorders>
              <w:top w:val="nil"/>
              <w:left w:val="nil"/>
              <w:bottom w:val="single" w:color="auto" w:sz="4" w:space="0"/>
              <w:right w:val="double" w:color="auto" w:sz="6" w:space="0"/>
            </w:tcBorders>
            <w:noWrap w:val="0"/>
            <w:vAlign w:val="center"/>
          </w:tcPr>
          <w:p>
            <w:pPr>
              <w:widowControl/>
              <w:ind w:left="0" w:leftChars="0" w:firstLine="0" w:firstLineChars="0"/>
              <w:rPr>
                <w:rFonts w:ascii="Calibri" w:hAnsi="Calibri" w:cs="宋体"/>
                <w:kern w:val="0"/>
                <w:sz w:val="24"/>
                <w:szCs w:val="24"/>
              </w:rPr>
            </w:pPr>
            <w:r>
              <w:rPr>
                <w:rFonts w:hint="eastAsia" w:ascii="宋体" w:hAnsi="宋体" w:cs="宋体"/>
                <w:kern w:val="0"/>
                <w:sz w:val="24"/>
                <w:szCs w:val="24"/>
              </w:rPr>
              <w:t>程序性错误；程序造成错误造成数据问题</w:t>
            </w:r>
          </w:p>
        </w:tc>
      </w:tr>
      <w:tr>
        <w:tblPrEx>
          <w:tblCellMar>
            <w:top w:w="0" w:type="dxa"/>
            <w:left w:w="108" w:type="dxa"/>
            <w:bottom w:w="0" w:type="dxa"/>
            <w:right w:w="108" w:type="dxa"/>
          </w:tblCellMar>
        </w:tblPrEx>
        <w:trPr>
          <w:trHeight w:val="555" w:hRule="atLeast"/>
          <w:jc w:val="center"/>
        </w:trPr>
        <w:tc>
          <w:tcPr>
            <w:tcW w:w="1134" w:type="dxa"/>
            <w:vMerge w:val="continue"/>
            <w:tcBorders>
              <w:top w:val="nil"/>
              <w:left w:val="double" w:color="auto" w:sz="6" w:space="0"/>
              <w:bottom w:val="single" w:color="000000" w:sz="4" w:space="0"/>
              <w:right w:val="single" w:color="auto" w:sz="4" w:space="0"/>
            </w:tcBorders>
            <w:noWrap w:val="0"/>
            <w:vAlign w:val="center"/>
          </w:tcPr>
          <w:p>
            <w:pPr>
              <w:widowControl/>
              <w:jc w:val="left"/>
              <w:rPr>
                <w:rFonts w:ascii="Calibri" w:hAnsi="Calibri" w:cs="宋体"/>
                <w:b/>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jc w:val="center"/>
              <w:rPr>
                <w:rFonts w:ascii="Calibri" w:hAnsi="Calibri" w:cs="宋体"/>
                <w:kern w:val="0"/>
                <w:sz w:val="24"/>
                <w:szCs w:val="24"/>
              </w:rPr>
            </w:pPr>
            <w:r>
              <w:rPr>
                <w:rFonts w:ascii="Calibri" w:hAnsi="Calibri" w:cs="宋体"/>
                <w:kern w:val="0"/>
                <w:sz w:val="24"/>
                <w:szCs w:val="24"/>
              </w:rPr>
              <w:t>B</w:t>
            </w:r>
            <w:r>
              <w:rPr>
                <w:rFonts w:hint="eastAsia" w:ascii="Calibri" w:hAnsi="Calibri" w:cs="宋体"/>
                <w:kern w:val="0"/>
                <w:sz w:val="24"/>
                <w:szCs w:val="24"/>
              </w:rPr>
              <w:t>007</w:t>
            </w:r>
          </w:p>
        </w:tc>
        <w:tc>
          <w:tcPr>
            <w:tcW w:w="2126"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Calibri" w:hAnsi="Calibri" w:cs="宋体"/>
                <w:kern w:val="0"/>
                <w:sz w:val="24"/>
                <w:szCs w:val="24"/>
              </w:rPr>
            </w:pPr>
            <w:r>
              <w:rPr>
                <w:rFonts w:hint="eastAsia" w:ascii="宋体" w:hAnsi="宋体" w:cs="宋体"/>
                <w:kern w:val="0"/>
                <w:sz w:val="24"/>
                <w:szCs w:val="24"/>
              </w:rPr>
              <w:t>功能操作使用指导</w:t>
            </w:r>
          </w:p>
        </w:tc>
        <w:tc>
          <w:tcPr>
            <w:tcW w:w="1130"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现场</w:t>
            </w:r>
          </w:p>
        </w:tc>
        <w:tc>
          <w:tcPr>
            <w:tcW w:w="3690" w:type="dxa"/>
            <w:tcBorders>
              <w:top w:val="nil"/>
              <w:left w:val="nil"/>
              <w:bottom w:val="single" w:color="auto" w:sz="4" w:space="0"/>
              <w:right w:val="double" w:color="auto" w:sz="6" w:space="0"/>
            </w:tcBorders>
            <w:noWrap w:val="0"/>
            <w:vAlign w:val="center"/>
          </w:tcPr>
          <w:p>
            <w:pPr>
              <w:widowControl/>
              <w:ind w:left="0" w:leftChars="0" w:firstLine="0" w:firstLineChars="0"/>
              <w:rPr>
                <w:rFonts w:ascii="宋体" w:hAnsi="宋体" w:cs="宋体"/>
                <w:kern w:val="0"/>
                <w:sz w:val="24"/>
                <w:szCs w:val="24"/>
              </w:rPr>
            </w:pPr>
            <w:r>
              <w:rPr>
                <w:rFonts w:hint="eastAsia" w:ascii="宋体" w:hAnsi="宋体" w:cs="宋体"/>
                <w:kern w:val="0"/>
                <w:sz w:val="24"/>
                <w:szCs w:val="24"/>
              </w:rPr>
              <w:t>针对比较复杂和特殊应用，现场指导用户操作。</w:t>
            </w:r>
          </w:p>
        </w:tc>
      </w:tr>
      <w:tr>
        <w:tblPrEx>
          <w:tblCellMar>
            <w:top w:w="0" w:type="dxa"/>
            <w:left w:w="108" w:type="dxa"/>
            <w:bottom w:w="0" w:type="dxa"/>
            <w:right w:w="108" w:type="dxa"/>
          </w:tblCellMar>
        </w:tblPrEx>
        <w:trPr>
          <w:trHeight w:val="525" w:hRule="atLeast"/>
          <w:jc w:val="center"/>
        </w:trPr>
        <w:tc>
          <w:tcPr>
            <w:tcW w:w="1134" w:type="dxa"/>
            <w:vMerge w:val="restart"/>
            <w:tcBorders>
              <w:top w:val="single" w:color="000000" w:sz="4" w:space="0"/>
              <w:left w:val="double" w:color="auto" w:sz="6" w:space="0"/>
              <w:bottom w:val="single" w:color="auto" w:sz="4" w:space="0"/>
              <w:right w:val="single" w:color="auto" w:sz="4" w:space="0"/>
            </w:tcBorders>
            <w:noWrap w:val="0"/>
            <w:vAlign w:val="center"/>
          </w:tcPr>
          <w:p>
            <w:pPr>
              <w:widowControl/>
              <w:jc w:val="center"/>
              <w:rPr>
                <w:rFonts w:ascii="宋体" w:hAnsi="宋体" w:cs="宋体"/>
                <w:b/>
                <w:kern w:val="0"/>
                <w:sz w:val="24"/>
                <w:szCs w:val="24"/>
              </w:rPr>
            </w:pPr>
            <w:r>
              <w:rPr>
                <w:rFonts w:hint="eastAsia" w:ascii="宋体" w:hAnsi="宋体" w:cs="宋体"/>
                <w:b/>
                <w:kern w:val="0"/>
                <w:sz w:val="24"/>
                <w:szCs w:val="24"/>
              </w:rPr>
              <w:t>医保接口问题处理</w:t>
            </w:r>
            <w:r>
              <w:rPr>
                <w:rFonts w:hint="eastAsia" w:ascii="宋体" w:hAnsi="宋体" w:cs="宋体"/>
                <w:b/>
                <w:kern w:val="0"/>
                <w:sz w:val="24"/>
                <w:szCs w:val="24"/>
              </w:rPr>
              <w:br w:type="textWrapping"/>
            </w:r>
            <w:r>
              <w:rPr>
                <w:rFonts w:hint="eastAsia" w:ascii="宋体" w:hAnsi="宋体" w:cs="宋体"/>
                <w:b/>
                <w:kern w:val="0"/>
                <w:sz w:val="24"/>
                <w:szCs w:val="24"/>
              </w:rPr>
              <w:t>（C类）</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szCs w:val="24"/>
              </w:rPr>
            </w:pPr>
            <w:r>
              <w:rPr>
                <w:rFonts w:hint="eastAsia" w:ascii="Times New Roman" w:hAnsi="Times New Roman" w:cs="Times New Roman"/>
                <w:kern w:val="0"/>
                <w:sz w:val="24"/>
                <w:szCs w:val="24"/>
              </w:rPr>
              <w:t>C001</w:t>
            </w:r>
          </w:p>
        </w:tc>
        <w:tc>
          <w:tcPr>
            <w:tcW w:w="2126"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医保接口修改</w:t>
            </w:r>
          </w:p>
        </w:tc>
        <w:tc>
          <w:tcPr>
            <w:tcW w:w="1130"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现场</w:t>
            </w:r>
          </w:p>
        </w:tc>
        <w:tc>
          <w:tcPr>
            <w:tcW w:w="3690" w:type="dxa"/>
            <w:tcBorders>
              <w:top w:val="nil"/>
              <w:left w:val="nil"/>
              <w:bottom w:val="nil"/>
              <w:right w:val="double" w:color="auto" w:sz="6" w:space="0"/>
            </w:tcBorders>
            <w:noWrap w:val="0"/>
            <w:vAlign w:val="center"/>
          </w:tcPr>
          <w:p>
            <w:pPr>
              <w:widowControl/>
              <w:ind w:left="0" w:leftChars="0" w:firstLine="0" w:firstLineChars="0"/>
              <w:jc w:val="left"/>
              <w:rPr>
                <w:rFonts w:ascii="宋体" w:hAnsi="宋体" w:cs="宋体"/>
                <w:kern w:val="0"/>
                <w:sz w:val="24"/>
                <w:szCs w:val="24"/>
              </w:rPr>
            </w:pPr>
            <w:r>
              <w:rPr>
                <w:rFonts w:hint="eastAsia" w:ascii="宋体" w:hAnsi="宋体" w:cs="宋体"/>
                <w:kern w:val="0"/>
                <w:sz w:val="24"/>
                <w:szCs w:val="24"/>
              </w:rPr>
              <w:t>适应政策性变动的功能性修改，包括医保接口、农村合作医疗接口程序的修改，不包括医保前置服务器故障处理与安装服务</w:t>
            </w:r>
          </w:p>
        </w:tc>
      </w:tr>
      <w:tr>
        <w:tblPrEx>
          <w:tblCellMar>
            <w:top w:w="0" w:type="dxa"/>
            <w:left w:w="108" w:type="dxa"/>
            <w:bottom w:w="0" w:type="dxa"/>
            <w:right w:w="108" w:type="dxa"/>
          </w:tblCellMar>
        </w:tblPrEx>
        <w:trPr>
          <w:trHeight w:val="525" w:hRule="atLeast"/>
          <w:jc w:val="center"/>
        </w:trPr>
        <w:tc>
          <w:tcPr>
            <w:tcW w:w="1134" w:type="dxa"/>
            <w:vMerge w:val="continue"/>
            <w:tcBorders>
              <w:top w:val="single" w:color="auto" w:sz="4" w:space="0"/>
              <w:left w:val="double" w:color="auto" w:sz="6" w:space="0"/>
              <w:bottom w:val="single" w:color="auto" w:sz="4" w:space="0"/>
              <w:right w:val="single" w:color="auto" w:sz="4" w:space="0"/>
            </w:tcBorders>
            <w:noWrap w:val="0"/>
            <w:vAlign w:val="center"/>
          </w:tcPr>
          <w:p>
            <w:pPr>
              <w:widowControl/>
              <w:jc w:val="left"/>
              <w:rPr>
                <w:rFonts w:ascii="宋体" w:hAnsi="宋体" w:cs="宋体"/>
                <w:b/>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szCs w:val="24"/>
              </w:rPr>
            </w:pPr>
            <w:r>
              <w:rPr>
                <w:rFonts w:hint="eastAsia" w:ascii="Times New Roman" w:hAnsi="Times New Roman" w:cs="Times New Roman"/>
                <w:kern w:val="0"/>
                <w:sz w:val="24"/>
                <w:szCs w:val="24"/>
              </w:rPr>
              <w:t>C002</w:t>
            </w:r>
          </w:p>
        </w:tc>
        <w:tc>
          <w:tcPr>
            <w:tcW w:w="2126"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医保政策性报表需求</w:t>
            </w:r>
          </w:p>
        </w:tc>
        <w:tc>
          <w:tcPr>
            <w:tcW w:w="1130"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现场、远程</w:t>
            </w:r>
          </w:p>
        </w:tc>
        <w:tc>
          <w:tcPr>
            <w:tcW w:w="3690" w:type="dxa"/>
            <w:tcBorders>
              <w:top w:val="single" w:color="auto" w:sz="4" w:space="0"/>
              <w:left w:val="nil"/>
              <w:bottom w:val="single" w:color="auto" w:sz="4" w:space="0"/>
              <w:right w:val="double" w:color="auto" w:sz="6" w:space="0"/>
            </w:tcBorders>
            <w:noWrap w:val="0"/>
            <w:vAlign w:val="center"/>
          </w:tcPr>
          <w:p>
            <w:pPr>
              <w:widowControl/>
              <w:ind w:left="0" w:leftChars="0" w:firstLine="0" w:firstLineChars="0"/>
              <w:jc w:val="left"/>
              <w:rPr>
                <w:rFonts w:ascii="宋体" w:hAnsi="宋体" w:cs="宋体"/>
                <w:kern w:val="0"/>
                <w:sz w:val="24"/>
                <w:szCs w:val="24"/>
              </w:rPr>
            </w:pPr>
            <w:r>
              <w:rPr>
                <w:rFonts w:hint="eastAsia" w:ascii="宋体" w:hAnsi="宋体" w:cs="宋体"/>
                <w:kern w:val="0"/>
                <w:sz w:val="24"/>
                <w:szCs w:val="24"/>
              </w:rPr>
              <w:t>因为医保政策性要求医院提交的报表。</w:t>
            </w:r>
          </w:p>
        </w:tc>
      </w:tr>
      <w:tr>
        <w:tblPrEx>
          <w:tblCellMar>
            <w:top w:w="0" w:type="dxa"/>
            <w:left w:w="108" w:type="dxa"/>
            <w:bottom w:w="0" w:type="dxa"/>
            <w:right w:w="108" w:type="dxa"/>
          </w:tblCellMar>
        </w:tblPrEx>
        <w:trPr>
          <w:trHeight w:val="560" w:hRule="atLeast"/>
          <w:jc w:val="center"/>
        </w:trPr>
        <w:tc>
          <w:tcPr>
            <w:tcW w:w="1134" w:type="dxa"/>
            <w:vMerge w:val="continue"/>
            <w:tcBorders>
              <w:top w:val="single" w:color="auto" w:sz="4" w:space="0"/>
              <w:left w:val="double" w:color="auto" w:sz="6" w:space="0"/>
              <w:bottom w:val="single" w:color="auto" w:sz="4" w:space="0"/>
              <w:right w:val="single" w:color="auto" w:sz="4" w:space="0"/>
            </w:tcBorders>
            <w:noWrap w:val="0"/>
            <w:vAlign w:val="center"/>
          </w:tcPr>
          <w:p>
            <w:pPr>
              <w:widowControl/>
              <w:jc w:val="left"/>
              <w:rPr>
                <w:rFonts w:ascii="宋体" w:hAnsi="宋体" w:cs="宋体"/>
                <w:b/>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szCs w:val="24"/>
              </w:rPr>
            </w:pPr>
            <w:r>
              <w:rPr>
                <w:rFonts w:hint="eastAsia" w:ascii="Times New Roman" w:hAnsi="Times New Roman" w:cs="Times New Roman"/>
                <w:kern w:val="0"/>
                <w:sz w:val="24"/>
                <w:szCs w:val="24"/>
              </w:rPr>
              <w:t>C003</w:t>
            </w:r>
          </w:p>
        </w:tc>
        <w:tc>
          <w:tcPr>
            <w:tcW w:w="2126"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医保报表与医保中心数据不等处理</w:t>
            </w:r>
          </w:p>
        </w:tc>
        <w:tc>
          <w:tcPr>
            <w:tcW w:w="1130"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现场、远程</w:t>
            </w:r>
          </w:p>
        </w:tc>
        <w:tc>
          <w:tcPr>
            <w:tcW w:w="3690" w:type="dxa"/>
            <w:tcBorders>
              <w:top w:val="nil"/>
              <w:left w:val="nil"/>
              <w:bottom w:val="single" w:color="auto" w:sz="4" w:space="0"/>
              <w:right w:val="double" w:color="auto" w:sz="6" w:space="0"/>
            </w:tcBorders>
            <w:noWrap w:val="0"/>
            <w:vAlign w:val="center"/>
          </w:tcPr>
          <w:p>
            <w:pPr>
              <w:widowControl/>
              <w:ind w:left="0" w:leftChars="0" w:firstLine="0" w:firstLineChars="0"/>
              <w:jc w:val="left"/>
              <w:rPr>
                <w:rFonts w:ascii="Times New Roman" w:hAnsi="Times New Roman" w:cs="Times New Roman"/>
                <w:kern w:val="0"/>
                <w:sz w:val="24"/>
                <w:szCs w:val="24"/>
              </w:rPr>
            </w:pPr>
            <w:r>
              <w:rPr>
                <w:rFonts w:ascii="Times New Roman" w:hAnsi="Times New Roman" w:cs="Times New Roman"/>
                <w:kern w:val="0"/>
                <w:sz w:val="24"/>
                <w:szCs w:val="24"/>
              </w:rPr>
              <w:t>1</w:t>
            </w:r>
            <w:r>
              <w:rPr>
                <w:rFonts w:hint="eastAsia" w:ascii="宋体" w:hAnsi="宋体" w:cs="Times New Roman"/>
                <w:kern w:val="0"/>
                <w:sz w:val="24"/>
                <w:szCs w:val="24"/>
              </w:rPr>
              <w:t>、报表本身错误的处理</w:t>
            </w:r>
            <w:r>
              <w:rPr>
                <w:rFonts w:hint="eastAsia" w:ascii="宋体" w:hAnsi="宋体" w:cs="Times New Roman"/>
                <w:kern w:val="0"/>
                <w:sz w:val="24"/>
                <w:szCs w:val="24"/>
              </w:rPr>
              <w:br w:type="textWrapping"/>
            </w:r>
            <w:r>
              <w:rPr>
                <w:rFonts w:ascii="Times New Roman" w:hAnsi="Times New Roman" w:cs="Times New Roman"/>
                <w:kern w:val="0"/>
                <w:sz w:val="24"/>
                <w:szCs w:val="24"/>
              </w:rPr>
              <w:t>2</w:t>
            </w:r>
            <w:r>
              <w:rPr>
                <w:rFonts w:hint="eastAsia" w:ascii="宋体" w:hAnsi="宋体" w:cs="Times New Roman"/>
                <w:kern w:val="0"/>
                <w:sz w:val="24"/>
                <w:szCs w:val="24"/>
              </w:rPr>
              <w:t>、</w:t>
            </w:r>
            <w:r>
              <w:rPr>
                <w:rFonts w:ascii="Times New Roman" w:hAnsi="Times New Roman" w:cs="Times New Roman"/>
                <w:kern w:val="0"/>
                <w:sz w:val="24"/>
                <w:szCs w:val="24"/>
              </w:rPr>
              <w:t>HIS</w:t>
            </w:r>
            <w:r>
              <w:rPr>
                <w:rFonts w:hint="eastAsia" w:ascii="宋体" w:hAnsi="宋体" w:cs="Times New Roman"/>
                <w:kern w:val="0"/>
                <w:sz w:val="24"/>
                <w:szCs w:val="24"/>
              </w:rPr>
              <w:t>数据与中心不等，原因的排查</w:t>
            </w:r>
          </w:p>
        </w:tc>
      </w:tr>
      <w:tr>
        <w:tblPrEx>
          <w:tblCellMar>
            <w:top w:w="0" w:type="dxa"/>
            <w:left w:w="108" w:type="dxa"/>
            <w:bottom w:w="0" w:type="dxa"/>
            <w:right w:w="108" w:type="dxa"/>
          </w:tblCellMar>
        </w:tblPrEx>
        <w:trPr>
          <w:trHeight w:val="570" w:hRule="atLeast"/>
          <w:jc w:val="center"/>
        </w:trPr>
        <w:tc>
          <w:tcPr>
            <w:tcW w:w="1134" w:type="dxa"/>
            <w:vMerge w:val="continue"/>
            <w:tcBorders>
              <w:top w:val="single" w:color="auto" w:sz="4" w:space="0"/>
              <w:left w:val="double" w:color="auto" w:sz="6" w:space="0"/>
              <w:bottom w:val="single" w:color="auto" w:sz="4" w:space="0"/>
              <w:right w:val="single" w:color="auto" w:sz="4" w:space="0"/>
            </w:tcBorders>
            <w:noWrap w:val="0"/>
            <w:vAlign w:val="center"/>
          </w:tcPr>
          <w:p>
            <w:pPr>
              <w:widowControl/>
              <w:jc w:val="left"/>
              <w:rPr>
                <w:rFonts w:ascii="宋体" w:hAnsi="宋体" w:cs="宋体"/>
                <w:b/>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szCs w:val="24"/>
              </w:rPr>
            </w:pPr>
            <w:r>
              <w:rPr>
                <w:rFonts w:hint="eastAsia" w:ascii="Times New Roman" w:hAnsi="Times New Roman" w:cs="Times New Roman"/>
                <w:kern w:val="0"/>
                <w:sz w:val="24"/>
                <w:szCs w:val="24"/>
              </w:rPr>
              <w:t>C004</w:t>
            </w:r>
          </w:p>
        </w:tc>
        <w:tc>
          <w:tcPr>
            <w:tcW w:w="2126"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数据传输异常处理</w:t>
            </w:r>
          </w:p>
        </w:tc>
        <w:tc>
          <w:tcPr>
            <w:tcW w:w="1130"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现场、远程</w:t>
            </w:r>
          </w:p>
        </w:tc>
        <w:tc>
          <w:tcPr>
            <w:tcW w:w="3690" w:type="dxa"/>
            <w:tcBorders>
              <w:top w:val="nil"/>
              <w:left w:val="nil"/>
              <w:bottom w:val="single" w:color="auto" w:sz="4" w:space="0"/>
              <w:right w:val="double" w:color="auto" w:sz="6" w:space="0"/>
            </w:tcBorders>
            <w:noWrap w:val="0"/>
            <w:vAlign w:val="center"/>
          </w:tcPr>
          <w:p>
            <w:pPr>
              <w:widowControl/>
              <w:ind w:left="0" w:leftChars="0" w:firstLine="0" w:firstLineChars="0"/>
              <w:jc w:val="left"/>
              <w:rPr>
                <w:rFonts w:ascii="宋体" w:hAnsi="宋体" w:cs="宋体"/>
                <w:kern w:val="0"/>
                <w:sz w:val="24"/>
                <w:szCs w:val="24"/>
              </w:rPr>
            </w:pPr>
            <w:r>
              <w:rPr>
                <w:rFonts w:hint="eastAsia" w:ascii="宋体" w:hAnsi="宋体" w:cs="宋体"/>
                <w:kern w:val="0"/>
                <w:sz w:val="24"/>
                <w:szCs w:val="24"/>
              </w:rPr>
              <w:t>处理因接口程序错误导致的数据传输异常；对网络不稳定、对码错误、硬件故障或其他原因导致的医保数据传输失败，协助医院找到原因并建议处理办法</w:t>
            </w:r>
          </w:p>
        </w:tc>
      </w:tr>
      <w:tr>
        <w:tblPrEx>
          <w:tblCellMar>
            <w:top w:w="0" w:type="dxa"/>
            <w:left w:w="108" w:type="dxa"/>
            <w:bottom w:w="0" w:type="dxa"/>
            <w:right w:w="108" w:type="dxa"/>
          </w:tblCellMar>
        </w:tblPrEx>
        <w:trPr>
          <w:trHeight w:val="525" w:hRule="atLeast"/>
          <w:jc w:val="center"/>
        </w:trPr>
        <w:tc>
          <w:tcPr>
            <w:tcW w:w="1134" w:type="dxa"/>
            <w:vMerge w:val="continue"/>
            <w:tcBorders>
              <w:top w:val="single" w:color="auto" w:sz="4" w:space="0"/>
              <w:left w:val="double" w:color="auto" w:sz="6" w:space="0"/>
              <w:bottom w:val="single" w:color="auto" w:sz="4" w:space="0"/>
              <w:right w:val="single" w:color="auto" w:sz="4" w:space="0"/>
            </w:tcBorders>
            <w:noWrap w:val="0"/>
            <w:vAlign w:val="center"/>
          </w:tcPr>
          <w:p>
            <w:pPr>
              <w:widowControl/>
              <w:jc w:val="left"/>
              <w:rPr>
                <w:rFonts w:ascii="宋体" w:hAnsi="宋体" w:cs="宋体"/>
                <w:b/>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szCs w:val="24"/>
              </w:rPr>
            </w:pPr>
            <w:r>
              <w:rPr>
                <w:rFonts w:hint="eastAsia" w:ascii="Times New Roman" w:hAnsi="Times New Roman" w:cs="Times New Roman"/>
                <w:kern w:val="0"/>
                <w:sz w:val="24"/>
                <w:szCs w:val="24"/>
              </w:rPr>
              <w:t>C005</w:t>
            </w:r>
          </w:p>
        </w:tc>
        <w:tc>
          <w:tcPr>
            <w:tcW w:w="2126"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医保问题咨询和判断</w:t>
            </w:r>
          </w:p>
        </w:tc>
        <w:tc>
          <w:tcPr>
            <w:tcW w:w="1130"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电话</w:t>
            </w:r>
          </w:p>
        </w:tc>
        <w:tc>
          <w:tcPr>
            <w:tcW w:w="3690" w:type="dxa"/>
            <w:tcBorders>
              <w:top w:val="nil"/>
              <w:left w:val="nil"/>
              <w:bottom w:val="single" w:color="auto" w:sz="4" w:space="0"/>
              <w:right w:val="double" w:color="auto" w:sz="6" w:space="0"/>
            </w:tcBorders>
            <w:noWrap w:val="0"/>
            <w:vAlign w:val="center"/>
          </w:tcPr>
          <w:p>
            <w:pPr>
              <w:widowControl/>
              <w:ind w:left="0" w:leftChars="0" w:firstLine="0" w:firstLineChars="0"/>
              <w:jc w:val="left"/>
              <w:rPr>
                <w:rFonts w:ascii="Times New Roman" w:hAnsi="Times New Roman" w:cs="Times New Roman"/>
                <w:kern w:val="0"/>
                <w:sz w:val="24"/>
                <w:szCs w:val="24"/>
              </w:rPr>
            </w:pPr>
            <w:r>
              <w:rPr>
                <w:rFonts w:ascii="Times New Roman" w:hAnsi="Times New Roman" w:cs="Times New Roman"/>
                <w:kern w:val="0"/>
                <w:sz w:val="24"/>
                <w:szCs w:val="24"/>
              </w:rPr>
              <w:t>1</w:t>
            </w:r>
            <w:r>
              <w:rPr>
                <w:rFonts w:hint="eastAsia" w:ascii="宋体" w:hAnsi="宋体" w:cs="Times New Roman"/>
                <w:kern w:val="0"/>
                <w:sz w:val="24"/>
                <w:szCs w:val="24"/>
              </w:rPr>
              <w:t>、操作指导；</w:t>
            </w:r>
            <w:r>
              <w:rPr>
                <w:rFonts w:ascii="Times New Roman" w:hAnsi="Times New Roman" w:cs="Times New Roman"/>
                <w:kern w:val="0"/>
                <w:sz w:val="24"/>
                <w:szCs w:val="24"/>
              </w:rPr>
              <w:t>2</w:t>
            </w:r>
            <w:r>
              <w:rPr>
                <w:rFonts w:hint="eastAsia" w:ascii="宋体" w:hAnsi="宋体" w:cs="Times New Roman"/>
                <w:kern w:val="0"/>
                <w:sz w:val="24"/>
                <w:szCs w:val="24"/>
              </w:rPr>
              <w:t>、结算结果讲解</w:t>
            </w:r>
          </w:p>
        </w:tc>
      </w:tr>
      <w:tr>
        <w:tblPrEx>
          <w:tblCellMar>
            <w:top w:w="0" w:type="dxa"/>
            <w:left w:w="108" w:type="dxa"/>
            <w:bottom w:w="0" w:type="dxa"/>
            <w:right w:w="108" w:type="dxa"/>
          </w:tblCellMar>
        </w:tblPrEx>
        <w:trPr>
          <w:trHeight w:val="525" w:hRule="atLeast"/>
          <w:jc w:val="center"/>
        </w:trPr>
        <w:tc>
          <w:tcPr>
            <w:tcW w:w="1134" w:type="dxa"/>
            <w:vMerge w:val="continue"/>
            <w:tcBorders>
              <w:top w:val="single" w:color="auto" w:sz="4" w:space="0"/>
              <w:left w:val="double" w:color="auto" w:sz="6" w:space="0"/>
              <w:bottom w:val="single" w:color="auto" w:sz="4" w:space="0"/>
              <w:right w:val="single" w:color="auto" w:sz="4" w:space="0"/>
            </w:tcBorders>
            <w:noWrap w:val="0"/>
            <w:vAlign w:val="center"/>
          </w:tcPr>
          <w:p>
            <w:pPr>
              <w:widowControl/>
              <w:jc w:val="left"/>
              <w:rPr>
                <w:rFonts w:ascii="宋体" w:hAnsi="宋体" w:cs="宋体"/>
                <w:b/>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szCs w:val="24"/>
              </w:rPr>
            </w:pPr>
            <w:r>
              <w:rPr>
                <w:rFonts w:hint="eastAsia" w:ascii="Times New Roman" w:hAnsi="Times New Roman" w:cs="Times New Roman"/>
                <w:kern w:val="0"/>
                <w:sz w:val="24"/>
                <w:szCs w:val="24"/>
              </w:rPr>
              <w:t>C006</w:t>
            </w:r>
          </w:p>
        </w:tc>
        <w:tc>
          <w:tcPr>
            <w:tcW w:w="2126"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医保接口产品问题处理</w:t>
            </w:r>
          </w:p>
        </w:tc>
        <w:tc>
          <w:tcPr>
            <w:tcW w:w="1130"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现场</w:t>
            </w:r>
          </w:p>
        </w:tc>
        <w:tc>
          <w:tcPr>
            <w:tcW w:w="3690" w:type="dxa"/>
            <w:tcBorders>
              <w:top w:val="nil"/>
              <w:left w:val="nil"/>
              <w:bottom w:val="single" w:color="auto" w:sz="4" w:space="0"/>
              <w:right w:val="double" w:color="auto" w:sz="6" w:space="0"/>
            </w:tcBorders>
            <w:noWrap w:val="0"/>
            <w:vAlign w:val="center"/>
          </w:tcPr>
          <w:p>
            <w:pPr>
              <w:widowControl/>
              <w:ind w:left="0" w:leftChars="0" w:firstLine="0" w:firstLineChars="0"/>
              <w:jc w:val="left"/>
              <w:rPr>
                <w:rFonts w:ascii="宋体" w:hAnsi="宋体" w:cs="宋体"/>
                <w:kern w:val="0"/>
                <w:sz w:val="24"/>
                <w:szCs w:val="24"/>
              </w:rPr>
            </w:pPr>
            <w:r>
              <w:rPr>
                <w:rFonts w:hint="eastAsia" w:ascii="宋体" w:hAnsi="宋体" w:cs="宋体"/>
                <w:kern w:val="0"/>
                <w:sz w:val="24"/>
                <w:szCs w:val="24"/>
              </w:rPr>
              <w:t>因为接口程序错误或未及时更新程序，造成的数据错误。</w:t>
            </w:r>
          </w:p>
        </w:tc>
      </w:tr>
      <w:tr>
        <w:tblPrEx>
          <w:tblCellMar>
            <w:top w:w="0" w:type="dxa"/>
            <w:left w:w="108" w:type="dxa"/>
            <w:bottom w:w="0" w:type="dxa"/>
            <w:right w:w="108" w:type="dxa"/>
          </w:tblCellMar>
        </w:tblPrEx>
        <w:trPr>
          <w:trHeight w:val="525" w:hRule="atLeast"/>
          <w:jc w:val="center"/>
        </w:trPr>
        <w:tc>
          <w:tcPr>
            <w:tcW w:w="1134" w:type="dxa"/>
            <w:vMerge w:val="continue"/>
            <w:tcBorders>
              <w:top w:val="single" w:color="auto" w:sz="4" w:space="0"/>
              <w:left w:val="double" w:color="auto" w:sz="6" w:space="0"/>
              <w:bottom w:val="single" w:color="auto" w:sz="4" w:space="0"/>
              <w:right w:val="single" w:color="auto" w:sz="4" w:space="0"/>
            </w:tcBorders>
            <w:noWrap w:val="0"/>
            <w:vAlign w:val="center"/>
          </w:tcPr>
          <w:p>
            <w:pPr>
              <w:widowControl/>
              <w:jc w:val="left"/>
              <w:rPr>
                <w:rFonts w:ascii="宋体" w:hAnsi="宋体" w:cs="宋体"/>
                <w:b/>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szCs w:val="24"/>
              </w:rPr>
            </w:pPr>
            <w:r>
              <w:rPr>
                <w:rFonts w:hint="eastAsia" w:ascii="Times New Roman" w:hAnsi="Times New Roman" w:cs="Times New Roman"/>
                <w:kern w:val="0"/>
                <w:sz w:val="24"/>
                <w:szCs w:val="24"/>
              </w:rPr>
              <w:t>C007</w:t>
            </w:r>
          </w:p>
        </w:tc>
        <w:tc>
          <w:tcPr>
            <w:tcW w:w="2126"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医保对码咨询</w:t>
            </w:r>
          </w:p>
        </w:tc>
        <w:tc>
          <w:tcPr>
            <w:tcW w:w="1130" w:type="dxa"/>
            <w:tcBorders>
              <w:top w:val="nil"/>
              <w:left w:val="nil"/>
              <w:bottom w:val="single" w:color="auto" w:sz="4" w:space="0"/>
              <w:right w:val="single" w:color="auto" w:sz="4" w:space="0"/>
            </w:tcBorders>
            <w:noWrap w:val="0"/>
            <w:vAlign w:val="center"/>
          </w:tcPr>
          <w:p>
            <w:pPr>
              <w:widowControl/>
              <w:ind w:left="0" w:leftChars="0" w:firstLine="0" w:firstLineChars="0"/>
              <w:jc w:val="both"/>
              <w:rPr>
                <w:rFonts w:ascii="宋体" w:hAnsi="宋体" w:cs="宋体"/>
                <w:kern w:val="0"/>
                <w:sz w:val="24"/>
                <w:szCs w:val="24"/>
              </w:rPr>
            </w:pPr>
            <w:r>
              <w:rPr>
                <w:rFonts w:hint="eastAsia" w:ascii="宋体" w:hAnsi="宋体" w:cs="宋体"/>
                <w:kern w:val="0"/>
                <w:sz w:val="24"/>
                <w:szCs w:val="24"/>
              </w:rPr>
              <w:t>电话、远程</w:t>
            </w:r>
          </w:p>
        </w:tc>
        <w:tc>
          <w:tcPr>
            <w:tcW w:w="3690" w:type="dxa"/>
            <w:tcBorders>
              <w:top w:val="nil"/>
              <w:left w:val="nil"/>
              <w:bottom w:val="single" w:color="auto" w:sz="4" w:space="0"/>
              <w:right w:val="double" w:color="auto" w:sz="6" w:space="0"/>
            </w:tcBorders>
            <w:noWrap w:val="0"/>
            <w:vAlign w:val="center"/>
          </w:tcPr>
          <w:p>
            <w:pPr>
              <w:widowControl/>
              <w:ind w:left="0" w:leftChars="0" w:firstLine="0" w:firstLineChars="0"/>
              <w:jc w:val="left"/>
              <w:rPr>
                <w:rFonts w:ascii="宋体" w:hAnsi="宋体" w:cs="宋体"/>
                <w:kern w:val="0"/>
                <w:sz w:val="24"/>
                <w:szCs w:val="24"/>
              </w:rPr>
            </w:pPr>
            <w:r>
              <w:rPr>
                <w:rFonts w:hint="eastAsia" w:ascii="宋体" w:hAnsi="宋体" w:cs="宋体"/>
                <w:kern w:val="0"/>
                <w:sz w:val="24"/>
                <w:szCs w:val="24"/>
              </w:rPr>
              <w:t>对码操作进行指导</w:t>
            </w:r>
          </w:p>
        </w:tc>
      </w:tr>
      <w:tr>
        <w:tblPrEx>
          <w:tblCellMar>
            <w:top w:w="0" w:type="dxa"/>
            <w:left w:w="108" w:type="dxa"/>
            <w:bottom w:w="0" w:type="dxa"/>
            <w:right w:w="108" w:type="dxa"/>
          </w:tblCellMar>
        </w:tblPrEx>
        <w:trPr>
          <w:trHeight w:val="525" w:hRule="atLeast"/>
          <w:jc w:val="center"/>
        </w:trPr>
        <w:tc>
          <w:tcPr>
            <w:tcW w:w="1134" w:type="dxa"/>
            <w:vMerge w:val="continue"/>
            <w:tcBorders>
              <w:top w:val="single" w:color="auto" w:sz="4" w:space="0"/>
              <w:left w:val="double" w:color="auto" w:sz="6" w:space="0"/>
              <w:bottom w:val="single" w:color="auto" w:sz="4" w:space="0"/>
              <w:right w:val="single" w:color="auto" w:sz="4" w:space="0"/>
            </w:tcBorders>
            <w:noWrap w:val="0"/>
            <w:vAlign w:val="center"/>
          </w:tcPr>
          <w:p>
            <w:pPr>
              <w:widowControl/>
              <w:jc w:val="left"/>
              <w:rPr>
                <w:rFonts w:ascii="宋体" w:hAnsi="宋体" w:cs="宋体"/>
                <w:b/>
                <w:kern w:val="0"/>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kern w:val="0"/>
                <w:sz w:val="24"/>
                <w:szCs w:val="24"/>
              </w:rPr>
            </w:pPr>
            <w:r>
              <w:rPr>
                <w:rFonts w:hint="eastAsia" w:ascii="Times New Roman" w:hAnsi="Times New Roman" w:cs="Times New Roman"/>
                <w:kern w:val="0"/>
                <w:sz w:val="24"/>
                <w:szCs w:val="24"/>
              </w:rPr>
              <w:t>C008</w:t>
            </w:r>
          </w:p>
        </w:tc>
        <w:tc>
          <w:tcPr>
            <w:tcW w:w="2126" w:type="dxa"/>
            <w:tcBorders>
              <w:top w:val="single" w:color="auto" w:sz="4" w:space="0"/>
              <w:left w:val="nil"/>
              <w:bottom w:val="single" w:color="auto" w:sz="4" w:space="0"/>
              <w:right w:val="single" w:color="auto" w:sz="4" w:space="0"/>
            </w:tcBorders>
            <w:noWrap w:val="0"/>
            <w:vAlign w:val="center"/>
          </w:tcPr>
          <w:p>
            <w:pPr>
              <w:widowControl/>
              <w:ind w:left="0" w:leftChars="0" w:firstLine="0" w:firstLineChars="0"/>
              <w:jc w:val="both"/>
              <w:rPr>
                <w:rFonts w:ascii="Times New Roman" w:hAnsi="Times New Roman" w:cs="Times New Roman"/>
                <w:kern w:val="0"/>
                <w:sz w:val="24"/>
                <w:szCs w:val="24"/>
              </w:rPr>
            </w:pPr>
            <w:r>
              <w:rPr>
                <w:rFonts w:hint="eastAsia" w:ascii="Times New Roman" w:hAnsi="Times New Roman" w:cs="Times New Roman"/>
                <w:kern w:val="0"/>
                <w:sz w:val="24"/>
                <w:szCs w:val="24"/>
              </w:rPr>
              <w:t>参保类型变化</w:t>
            </w:r>
          </w:p>
        </w:tc>
        <w:tc>
          <w:tcPr>
            <w:tcW w:w="1130" w:type="dxa"/>
            <w:tcBorders>
              <w:top w:val="single" w:color="auto" w:sz="4" w:space="0"/>
              <w:left w:val="nil"/>
              <w:bottom w:val="single" w:color="auto" w:sz="4" w:space="0"/>
              <w:right w:val="single" w:color="auto" w:sz="4" w:space="0"/>
            </w:tcBorders>
            <w:noWrap w:val="0"/>
            <w:vAlign w:val="center"/>
          </w:tcPr>
          <w:p>
            <w:pPr>
              <w:widowControl/>
              <w:ind w:left="0" w:leftChars="0" w:firstLine="0" w:firstLineChars="0"/>
              <w:jc w:val="both"/>
              <w:rPr>
                <w:rFonts w:ascii="Times New Roman" w:hAnsi="Times New Roman" w:cs="Times New Roman"/>
                <w:kern w:val="0"/>
                <w:sz w:val="24"/>
                <w:szCs w:val="24"/>
              </w:rPr>
            </w:pPr>
            <w:r>
              <w:rPr>
                <w:rFonts w:hint="eastAsia" w:ascii="Times New Roman" w:hAnsi="Times New Roman" w:cs="Times New Roman"/>
                <w:kern w:val="0"/>
                <w:sz w:val="24"/>
                <w:szCs w:val="24"/>
              </w:rPr>
              <w:t>远程、现场</w:t>
            </w:r>
          </w:p>
        </w:tc>
        <w:tc>
          <w:tcPr>
            <w:tcW w:w="3690" w:type="dxa"/>
            <w:tcBorders>
              <w:top w:val="single" w:color="auto" w:sz="4" w:space="0"/>
              <w:left w:val="nil"/>
              <w:bottom w:val="single" w:color="auto" w:sz="4" w:space="0"/>
              <w:right w:val="double" w:color="auto" w:sz="6" w:space="0"/>
            </w:tcBorders>
            <w:noWrap w:val="0"/>
            <w:vAlign w:val="center"/>
          </w:tcPr>
          <w:p>
            <w:pPr>
              <w:widowControl/>
              <w:ind w:left="0" w:leftChars="0" w:firstLine="0" w:firstLineChars="0"/>
              <w:jc w:val="left"/>
              <w:rPr>
                <w:rFonts w:ascii="Times New Roman" w:hAnsi="Times New Roman" w:cs="Times New Roman"/>
                <w:kern w:val="0"/>
                <w:sz w:val="24"/>
                <w:szCs w:val="24"/>
              </w:rPr>
            </w:pPr>
            <w:r>
              <w:rPr>
                <w:rFonts w:hint="eastAsia" w:ascii="Times New Roman" w:hAnsi="Times New Roman" w:cs="Times New Roman"/>
                <w:kern w:val="0"/>
                <w:sz w:val="24"/>
                <w:szCs w:val="24"/>
              </w:rPr>
              <w:t>在中联系统中协助处理参保类型变化，如集体变为个人、住院期间退保，费用需要分段处理</w:t>
            </w:r>
          </w:p>
        </w:tc>
      </w:tr>
      <w:tr>
        <w:tblPrEx>
          <w:tblCellMar>
            <w:top w:w="0" w:type="dxa"/>
            <w:left w:w="108" w:type="dxa"/>
            <w:bottom w:w="0" w:type="dxa"/>
            <w:right w:w="108" w:type="dxa"/>
          </w:tblCellMar>
        </w:tblPrEx>
        <w:trPr>
          <w:trHeight w:val="525" w:hRule="atLeast"/>
          <w:jc w:val="center"/>
        </w:trPr>
        <w:tc>
          <w:tcPr>
            <w:tcW w:w="1134" w:type="dxa"/>
            <w:tcBorders>
              <w:top w:val="single" w:color="auto" w:sz="4" w:space="0"/>
              <w:left w:val="double" w:color="auto" w:sz="6" w:space="0"/>
              <w:bottom w:val="double" w:color="auto" w:sz="6" w:space="0"/>
              <w:right w:val="single" w:color="auto" w:sz="4" w:space="0"/>
            </w:tcBorders>
            <w:noWrap w:val="0"/>
            <w:vAlign w:val="center"/>
          </w:tcPr>
          <w:p>
            <w:pPr>
              <w:widowControl/>
              <w:ind w:left="0" w:leftChars="0" w:firstLine="0" w:firstLineChars="0"/>
              <w:jc w:val="both"/>
              <w:rPr>
                <w:rFonts w:ascii="宋体" w:hAnsi="宋体" w:cs="宋体"/>
                <w:b/>
                <w:kern w:val="0"/>
                <w:sz w:val="24"/>
                <w:szCs w:val="24"/>
              </w:rPr>
            </w:pPr>
            <w:r>
              <w:rPr>
                <w:rFonts w:hint="eastAsia" w:ascii="宋体" w:hAnsi="宋体" w:cs="宋体"/>
                <w:b/>
                <w:kern w:val="0"/>
                <w:sz w:val="24"/>
                <w:szCs w:val="24"/>
              </w:rPr>
              <w:t>产品升级</w:t>
            </w:r>
            <w:r>
              <w:rPr>
                <w:rFonts w:hint="eastAsia" w:ascii="宋体" w:hAnsi="宋体" w:cs="宋体"/>
                <w:b/>
                <w:kern w:val="0"/>
                <w:sz w:val="24"/>
                <w:szCs w:val="24"/>
              </w:rPr>
              <w:br w:type="textWrapping"/>
            </w:r>
            <w:r>
              <w:rPr>
                <w:rFonts w:hint="eastAsia" w:ascii="宋体" w:hAnsi="宋体" w:cs="宋体"/>
                <w:b/>
                <w:kern w:val="0"/>
                <w:sz w:val="24"/>
                <w:szCs w:val="24"/>
              </w:rPr>
              <w:t>（D类）</w:t>
            </w:r>
          </w:p>
        </w:tc>
        <w:tc>
          <w:tcPr>
            <w:tcW w:w="850" w:type="dxa"/>
            <w:tcBorders>
              <w:top w:val="single" w:color="auto" w:sz="4" w:space="0"/>
              <w:left w:val="nil"/>
              <w:bottom w:val="double" w:color="auto" w:sz="6" w:space="0"/>
              <w:right w:val="single" w:color="auto" w:sz="4" w:space="0"/>
            </w:tcBorders>
            <w:noWrap w:val="0"/>
            <w:vAlign w:val="center"/>
          </w:tcPr>
          <w:p>
            <w:pPr>
              <w:widowControl/>
              <w:jc w:val="center"/>
              <w:rPr>
                <w:rFonts w:ascii="Times New Roman" w:hAnsi="Times New Roman" w:cs="Times New Roman"/>
                <w:kern w:val="0"/>
                <w:sz w:val="24"/>
                <w:szCs w:val="24"/>
              </w:rPr>
            </w:pPr>
            <w:r>
              <w:rPr>
                <w:rFonts w:hint="eastAsia" w:ascii="Times New Roman" w:hAnsi="Times New Roman" w:cs="Times New Roman"/>
                <w:kern w:val="0"/>
                <w:sz w:val="24"/>
                <w:szCs w:val="24"/>
              </w:rPr>
              <w:t>D001</w:t>
            </w:r>
          </w:p>
        </w:tc>
        <w:tc>
          <w:tcPr>
            <w:tcW w:w="2126" w:type="dxa"/>
            <w:tcBorders>
              <w:top w:val="single" w:color="auto" w:sz="4" w:space="0"/>
              <w:left w:val="nil"/>
              <w:bottom w:val="double" w:color="auto" w:sz="6" w:space="0"/>
              <w:right w:val="single" w:color="auto" w:sz="4" w:space="0"/>
            </w:tcBorders>
            <w:noWrap w:val="0"/>
            <w:vAlign w:val="center"/>
          </w:tcPr>
          <w:p>
            <w:pPr>
              <w:widowControl/>
              <w:ind w:left="0" w:leftChars="0" w:firstLine="0" w:firstLineChars="0"/>
              <w:jc w:val="both"/>
              <w:rPr>
                <w:rFonts w:ascii="Times New Roman" w:hAnsi="Times New Roman" w:cs="Times New Roman"/>
                <w:kern w:val="0"/>
                <w:sz w:val="24"/>
                <w:szCs w:val="24"/>
              </w:rPr>
            </w:pPr>
            <w:r>
              <w:rPr>
                <w:rFonts w:hint="eastAsia" w:ascii="Times New Roman" w:hAnsi="Times New Roman" w:cs="Times New Roman"/>
                <w:kern w:val="0"/>
                <w:sz w:val="24"/>
                <w:szCs w:val="24"/>
              </w:rPr>
              <w:t>产品升级服务</w:t>
            </w:r>
          </w:p>
        </w:tc>
        <w:tc>
          <w:tcPr>
            <w:tcW w:w="1130" w:type="dxa"/>
            <w:tcBorders>
              <w:top w:val="single" w:color="auto" w:sz="4" w:space="0"/>
              <w:left w:val="nil"/>
              <w:bottom w:val="double" w:color="auto" w:sz="6" w:space="0"/>
              <w:right w:val="single" w:color="auto" w:sz="4" w:space="0"/>
            </w:tcBorders>
            <w:noWrap w:val="0"/>
            <w:vAlign w:val="center"/>
          </w:tcPr>
          <w:p>
            <w:pPr>
              <w:widowControl/>
              <w:ind w:left="0" w:leftChars="0" w:firstLine="0" w:firstLineChars="0"/>
              <w:jc w:val="both"/>
              <w:rPr>
                <w:rFonts w:ascii="Times New Roman" w:hAnsi="Times New Roman" w:cs="Times New Roman"/>
                <w:kern w:val="0"/>
                <w:sz w:val="24"/>
                <w:szCs w:val="24"/>
              </w:rPr>
            </w:pPr>
            <w:r>
              <w:rPr>
                <w:rFonts w:ascii="Times New Roman" w:hAnsi="Times New Roman" w:cs="Times New Roman"/>
                <w:kern w:val="0"/>
                <w:sz w:val="24"/>
                <w:szCs w:val="24"/>
              </w:rPr>
              <w:t>FTP</w:t>
            </w:r>
            <w:r>
              <w:rPr>
                <w:rFonts w:hint="eastAsia" w:ascii="Times New Roman" w:hAnsi="Times New Roman" w:cs="Times New Roman"/>
                <w:kern w:val="0"/>
                <w:sz w:val="24"/>
                <w:szCs w:val="24"/>
              </w:rPr>
              <w:t>下载</w:t>
            </w:r>
          </w:p>
        </w:tc>
        <w:tc>
          <w:tcPr>
            <w:tcW w:w="3690" w:type="dxa"/>
            <w:tcBorders>
              <w:top w:val="single" w:color="auto" w:sz="4" w:space="0"/>
              <w:left w:val="nil"/>
              <w:bottom w:val="double" w:color="auto" w:sz="6" w:space="0"/>
              <w:right w:val="double" w:color="auto" w:sz="6" w:space="0"/>
            </w:tcBorders>
            <w:noWrap w:val="0"/>
            <w:vAlign w:val="center"/>
          </w:tcPr>
          <w:p>
            <w:pPr>
              <w:widowControl/>
              <w:ind w:left="0" w:leftChars="0" w:firstLine="0" w:firstLineChars="0"/>
              <w:rPr>
                <w:rFonts w:ascii="Times New Roman" w:hAnsi="Times New Roman" w:cs="Times New Roman"/>
                <w:kern w:val="0"/>
                <w:sz w:val="24"/>
                <w:szCs w:val="24"/>
              </w:rPr>
            </w:pPr>
            <w:r>
              <w:rPr>
                <w:rFonts w:ascii="Times New Roman" w:hAnsi="Times New Roman" w:cs="Times New Roman"/>
                <w:kern w:val="0"/>
                <w:sz w:val="24"/>
                <w:szCs w:val="24"/>
              </w:rPr>
              <w:t>1</w:t>
            </w:r>
            <w:r>
              <w:rPr>
                <w:rFonts w:hint="eastAsia" w:ascii="Times New Roman" w:hAnsi="Times New Roman" w:cs="Times New Roman"/>
                <w:kern w:val="0"/>
                <w:sz w:val="24"/>
                <w:szCs w:val="24"/>
              </w:rPr>
              <w:t>、医院对已购买的模块，在功能模块允许范围内可提出修改意见，公司根据医院的合理要求进行软件修改，并提供软件升级程序及补丁下载服务；</w:t>
            </w:r>
            <w:r>
              <w:rPr>
                <w:rFonts w:hint="eastAsia" w:ascii="Times New Roman" w:hAnsi="Times New Roman" w:cs="Times New Roman"/>
                <w:kern w:val="0"/>
                <w:sz w:val="24"/>
                <w:szCs w:val="24"/>
              </w:rPr>
              <w:br w:type="textWrapping"/>
            </w:r>
            <w:r>
              <w:rPr>
                <w:rFonts w:ascii="Times New Roman" w:hAnsi="Times New Roman" w:cs="Times New Roman"/>
                <w:kern w:val="0"/>
                <w:sz w:val="24"/>
                <w:szCs w:val="24"/>
              </w:rPr>
              <w:t>2</w:t>
            </w:r>
            <w:r>
              <w:rPr>
                <w:rFonts w:hint="eastAsia" w:ascii="Times New Roman" w:hAnsi="Times New Roman" w:cs="Times New Roman"/>
                <w:kern w:val="0"/>
                <w:sz w:val="24"/>
                <w:szCs w:val="24"/>
              </w:rPr>
              <w:t>、公司定期发布产品升级程序，供用户下载试用；</w:t>
            </w:r>
            <w:r>
              <w:rPr>
                <w:rFonts w:hint="eastAsia" w:ascii="Times New Roman" w:hAnsi="Times New Roman" w:cs="Times New Roman"/>
                <w:kern w:val="0"/>
                <w:sz w:val="24"/>
                <w:szCs w:val="24"/>
              </w:rPr>
              <w:br w:type="textWrapping"/>
            </w:r>
            <w:r>
              <w:rPr>
                <w:rFonts w:ascii="Times New Roman" w:hAnsi="Times New Roman" w:cs="Times New Roman"/>
                <w:kern w:val="0"/>
                <w:sz w:val="24"/>
                <w:szCs w:val="24"/>
              </w:rPr>
              <w:t>3</w:t>
            </w:r>
            <w:r>
              <w:rPr>
                <w:rFonts w:hint="eastAsia" w:ascii="Times New Roman" w:hAnsi="Times New Roman" w:cs="Times New Roman"/>
                <w:kern w:val="0"/>
                <w:sz w:val="24"/>
                <w:szCs w:val="24"/>
              </w:rPr>
              <w:t>、</w:t>
            </w:r>
            <w:r>
              <w:rPr>
                <w:rFonts w:ascii="Times New Roman" w:hAnsi="Times New Roman" w:cs="Times New Roman"/>
                <w:kern w:val="0"/>
                <w:sz w:val="24"/>
                <w:szCs w:val="24"/>
              </w:rPr>
              <w:t xml:space="preserve"> V10</w:t>
            </w:r>
            <w:r>
              <w:rPr>
                <w:rFonts w:hint="eastAsia" w:ascii="Times New Roman" w:hAnsi="Times New Roman" w:cs="Times New Roman"/>
                <w:kern w:val="0"/>
                <w:sz w:val="24"/>
                <w:szCs w:val="24"/>
              </w:rPr>
              <w:t>发布周期：四个月；</w:t>
            </w:r>
          </w:p>
        </w:tc>
      </w:tr>
    </w:tbl>
    <w:p>
      <w:pPr>
        <w:widowControl w:val="0"/>
        <w:spacing w:line="540" w:lineRule="exact"/>
        <w:rPr>
          <w:rFonts w:hint="eastAsia" w:ascii="方正仿宋_GBK" w:hAnsi="方正仿宋_GBK" w:eastAsia="方正仿宋_GBK" w:cs="方正仿宋_GBK"/>
          <w:sz w:val="32"/>
          <w:szCs w:val="32"/>
        </w:rPr>
      </w:pPr>
    </w:p>
    <w:p>
      <w:pPr>
        <w:widowControl w:val="0"/>
        <w:spacing w:line="54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widowControl w:val="0"/>
        <w:spacing w:line="54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附件3：</w:t>
      </w:r>
    </w:p>
    <w:p>
      <w:pPr>
        <w:spacing w:line="500" w:lineRule="exact"/>
        <w:jc w:val="center"/>
        <w:rPr>
          <w:rFonts w:ascii="仿宋" w:hAnsi="仿宋" w:eastAsia="仿宋" w:cs="仿宋"/>
          <w:b/>
          <w:color w:val="000000"/>
          <w:sz w:val="44"/>
          <w:szCs w:val="44"/>
        </w:rPr>
      </w:pPr>
      <w:bookmarkStart w:id="0" w:name="_Toc425149345"/>
      <w:r>
        <w:rPr>
          <w:rFonts w:hint="eastAsia" w:ascii="仿宋" w:hAnsi="仿宋" w:eastAsia="仿宋" w:cs="仿宋"/>
          <w:b/>
          <w:color w:val="000000"/>
          <w:sz w:val="44"/>
          <w:szCs w:val="44"/>
        </w:rPr>
        <w:t>重庆市第七人民医院服务类采购合同</w:t>
      </w:r>
    </w:p>
    <w:p>
      <w:pPr>
        <w:spacing w:line="500" w:lineRule="exact"/>
        <w:jc w:val="center"/>
        <w:rPr>
          <w:rFonts w:ascii="仿宋" w:hAnsi="仿宋" w:eastAsia="仿宋" w:cs="仿宋"/>
          <w:color w:val="000000"/>
          <w:sz w:val="36"/>
          <w:szCs w:val="20"/>
        </w:rPr>
      </w:pPr>
      <w:r>
        <w:rPr>
          <w:rFonts w:hint="eastAsia" w:ascii="仿宋" w:hAnsi="仿宋" w:eastAsia="仿宋" w:cs="仿宋"/>
          <w:color w:val="000000"/>
          <w:sz w:val="36"/>
          <w:szCs w:val="28"/>
        </w:rPr>
        <w:t>（项目编号：</w:t>
      </w:r>
      <w:r>
        <w:rPr>
          <w:rFonts w:hint="eastAsia" w:ascii="仿宋" w:hAnsi="仿宋" w:eastAsia="仿宋" w:cs="仿宋"/>
          <w:b/>
          <w:color w:val="000000"/>
          <w:sz w:val="36"/>
          <w:szCs w:val="28"/>
        </w:rPr>
        <w:t xml:space="preserve">    </w:t>
      </w:r>
      <w:r>
        <w:rPr>
          <w:rFonts w:hint="eastAsia" w:ascii="仿宋" w:hAnsi="仿宋" w:eastAsia="仿宋" w:cs="仿宋"/>
          <w:color w:val="000000"/>
          <w:sz w:val="36"/>
          <w:szCs w:val="20"/>
        </w:rPr>
        <w:t>）</w:t>
      </w:r>
    </w:p>
    <w:p>
      <w:pPr>
        <w:pStyle w:val="2"/>
        <w:ind w:firstLine="0"/>
        <w:jc w:val="center"/>
        <w:rPr>
          <w:rFonts w:ascii="方正仿宋_GBK" w:eastAsia="方正仿宋_GBK"/>
          <w:color w:val="FF0000"/>
          <w:sz w:val="28"/>
          <w:szCs w:val="28"/>
          <w:highlight w:val="yellow"/>
          <w:u w:val="single"/>
        </w:rPr>
      </w:pPr>
    </w:p>
    <w:p>
      <w:pPr>
        <w:spacing w:line="500" w:lineRule="exact"/>
        <w:rPr>
          <w:rFonts w:ascii="仿宋" w:hAnsi="仿宋" w:eastAsia="仿宋" w:cs="仿宋"/>
          <w:sz w:val="24"/>
        </w:rPr>
      </w:pPr>
      <w:r>
        <w:rPr>
          <w:rFonts w:hint="eastAsia" w:ascii="仿宋" w:hAnsi="仿宋" w:eastAsia="仿宋" w:cs="仿宋"/>
          <w:sz w:val="24"/>
        </w:rPr>
        <w:t>甲方（需方）：___________________________      计价单位：____________</w:t>
      </w:r>
    </w:p>
    <w:p>
      <w:pPr>
        <w:spacing w:line="500" w:lineRule="exact"/>
        <w:rPr>
          <w:rFonts w:ascii="仿宋" w:hAnsi="仿宋" w:eastAsia="仿宋" w:cs="仿宋"/>
          <w:sz w:val="24"/>
        </w:rPr>
      </w:pPr>
      <w:r>
        <w:rPr>
          <w:rFonts w:hint="eastAsia" w:ascii="仿宋" w:hAnsi="仿宋" w:eastAsia="仿宋" w:cs="仿宋"/>
          <w:sz w:val="24"/>
        </w:rPr>
        <w:t>乙方（供方）：___________________________      计量单位：_____________</w:t>
      </w:r>
    </w:p>
    <w:p>
      <w:pPr>
        <w:spacing w:line="500" w:lineRule="exact"/>
        <w:rPr>
          <w:rFonts w:ascii="仿宋" w:hAnsi="仿宋" w:eastAsia="仿宋"/>
          <w:sz w:val="28"/>
          <w:szCs w:val="28"/>
        </w:rPr>
      </w:pPr>
      <w:r>
        <w:rPr>
          <w:rFonts w:hint="eastAsia" w:ascii="仿宋" w:hAnsi="仿宋" w:eastAsia="仿宋"/>
          <w:sz w:val="28"/>
          <w:szCs w:val="28"/>
        </w:rPr>
        <w:t>经双方协商一致，达成以下合同条款：</w:t>
      </w:r>
    </w:p>
    <w:tbl>
      <w:tblPr>
        <w:tblStyle w:val="12"/>
        <w:tblW w:w="9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878"/>
        <w:gridCol w:w="1107"/>
        <w:gridCol w:w="112"/>
        <w:gridCol w:w="1088"/>
        <w:gridCol w:w="820"/>
        <w:gridCol w:w="1119"/>
        <w:gridCol w:w="1445"/>
        <w:gridCol w:w="111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64" w:type="dxa"/>
            <w:vAlign w:val="center"/>
          </w:tcPr>
          <w:p>
            <w:pPr>
              <w:spacing w:line="240" w:lineRule="atLeast"/>
              <w:jc w:val="center"/>
              <w:rPr>
                <w:rFonts w:ascii="仿宋" w:hAnsi="仿宋" w:eastAsia="仿宋"/>
                <w:sz w:val="24"/>
                <w:szCs w:val="21"/>
              </w:rPr>
            </w:pPr>
            <w:r>
              <w:rPr>
                <w:rFonts w:hint="eastAsia" w:ascii="仿宋" w:hAnsi="仿宋" w:eastAsia="仿宋"/>
                <w:sz w:val="24"/>
                <w:szCs w:val="21"/>
              </w:rPr>
              <w:t>服务名称</w:t>
            </w:r>
          </w:p>
        </w:tc>
        <w:tc>
          <w:tcPr>
            <w:tcW w:w="1878" w:type="dxa"/>
            <w:vAlign w:val="center"/>
          </w:tcPr>
          <w:p>
            <w:pPr>
              <w:spacing w:line="240" w:lineRule="atLeast"/>
              <w:jc w:val="center"/>
              <w:rPr>
                <w:rFonts w:ascii="仿宋" w:hAnsi="仿宋" w:eastAsia="仿宋"/>
                <w:sz w:val="24"/>
                <w:szCs w:val="21"/>
              </w:rPr>
            </w:pPr>
            <w:r>
              <w:rPr>
                <w:rFonts w:hint="eastAsia" w:ascii="仿宋" w:hAnsi="仿宋" w:eastAsia="仿宋"/>
                <w:sz w:val="24"/>
                <w:szCs w:val="21"/>
              </w:rPr>
              <w:t>服务具体内容</w:t>
            </w:r>
          </w:p>
        </w:tc>
        <w:tc>
          <w:tcPr>
            <w:tcW w:w="1107" w:type="dxa"/>
            <w:vAlign w:val="center"/>
          </w:tcPr>
          <w:p>
            <w:pPr>
              <w:spacing w:line="240" w:lineRule="atLeast"/>
              <w:jc w:val="center"/>
              <w:rPr>
                <w:rFonts w:ascii="仿宋" w:hAnsi="仿宋" w:eastAsia="仿宋"/>
                <w:sz w:val="24"/>
                <w:szCs w:val="21"/>
              </w:rPr>
            </w:pPr>
            <w:r>
              <w:rPr>
                <w:rFonts w:hint="eastAsia" w:ascii="仿宋" w:hAnsi="仿宋" w:eastAsia="仿宋"/>
                <w:sz w:val="24"/>
                <w:szCs w:val="21"/>
              </w:rPr>
              <w:t>服务期限</w:t>
            </w:r>
          </w:p>
        </w:tc>
        <w:tc>
          <w:tcPr>
            <w:tcW w:w="1200" w:type="dxa"/>
            <w:gridSpan w:val="2"/>
            <w:vAlign w:val="center"/>
          </w:tcPr>
          <w:p>
            <w:pPr>
              <w:spacing w:line="240" w:lineRule="atLeast"/>
              <w:jc w:val="center"/>
              <w:rPr>
                <w:rFonts w:ascii="仿宋" w:hAnsi="仿宋" w:eastAsia="仿宋"/>
                <w:sz w:val="24"/>
                <w:szCs w:val="21"/>
              </w:rPr>
            </w:pPr>
            <w:r>
              <w:rPr>
                <w:rFonts w:hint="eastAsia" w:ascii="仿宋" w:hAnsi="仿宋" w:eastAsia="仿宋"/>
                <w:sz w:val="24"/>
                <w:szCs w:val="21"/>
              </w:rPr>
              <w:t>综合单价</w:t>
            </w:r>
          </w:p>
        </w:tc>
        <w:tc>
          <w:tcPr>
            <w:tcW w:w="820" w:type="dxa"/>
            <w:vAlign w:val="center"/>
          </w:tcPr>
          <w:p>
            <w:pPr>
              <w:spacing w:line="240" w:lineRule="atLeast"/>
              <w:jc w:val="center"/>
              <w:rPr>
                <w:rFonts w:ascii="仿宋" w:hAnsi="仿宋" w:eastAsia="仿宋"/>
                <w:sz w:val="24"/>
                <w:szCs w:val="21"/>
              </w:rPr>
            </w:pPr>
            <w:r>
              <w:rPr>
                <w:rFonts w:hint="eastAsia" w:ascii="仿宋" w:hAnsi="仿宋" w:eastAsia="仿宋"/>
                <w:sz w:val="24"/>
                <w:szCs w:val="21"/>
              </w:rPr>
              <w:t>总价</w:t>
            </w:r>
          </w:p>
        </w:tc>
        <w:tc>
          <w:tcPr>
            <w:tcW w:w="1119" w:type="dxa"/>
            <w:vAlign w:val="center"/>
          </w:tcPr>
          <w:p>
            <w:pPr>
              <w:spacing w:line="240" w:lineRule="atLeast"/>
              <w:jc w:val="center"/>
              <w:rPr>
                <w:rFonts w:ascii="仿宋" w:hAnsi="仿宋" w:eastAsia="仿宋"/>
                <w:sz w:val="24"/>
                <w:szCs w:val="21"/>
              </w:rPr>
            </w:pPr>
            <w:r>
              <w:rPr>
                <w:rFonts w:hint="eastAsia" w:ascii="仿宋" w:hAnsi="仿宋" w:eastAsia="仿宋"/>
                <w:sz w:val="24"/>
                <w:szCs w:val="21"/>
              </w:rPr>
              <w:t>服务时间</w:t>
            </w:r>
          </w:p>
        </w:tc>
        <w:tc>
          <w:tcPr>
            <w:tcW w:w="1445" w:type="dxa"/>
            <w:vAlign w:val="center"/>
          </w:tcPr>
          <w:p>
            <w:pPr>
              <w:spacing w:line="240" w:lineRule="atLeast"/>
              <w:jc w:val="center"/>
              <w:rPr>
                <w:rFonts w:ascii="仿宋" w:hAnsi="仿宋" w:eastAsia="仿宋"/>
                <w:sz w:val="24"/>
                <w:szCs w:val="21"/>
              </w:rPr>
            </w:pPr>
            <w:r>
              <w:rPr>
                <w:rFonts w:hint="eastAsia" w:ascii="仿宋" w:hAnsi="仿宋" w:eastAsia="仿宋"/>
                <w:sz w:val="24"/>
                <w:szCs w:val="21"/>
              </w:rPr>
              <w:t>服务地点</w:t>
            </w:r>
          </w:p>
        </w:tc>
        <w:tc>
          <w:tcPr>
            <w:tcW w:w="1131" w:type="dxa"/>
            <w:gridSpan w:val="2"/>
            <w:vAlign w:val="center"/>
          </w:tcPr>
          <w:p>
            <w:pPr>
              <w:spacing w:line="240" w:lineRule="atLeast"/>
              <w:jc w:val="center"/>
              <w:rPr>
                <w:rFonts w:ascii="仿宋" w:hAnsi="仿宋" w:eastAsia="仿宋"/>
                <w:sz w:val="24"/>
                <w:szCs w:val="21"/>
              </w:rPr>
            </w:pPr>
            <w:r>
              <w:rPr>
                <w:rFonts w:hint="eastAsia" w:ascii="仿宋" w:hAnsi="仿宋" w:eastAsia="仿宋"/>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240" w:lineRule="atLeast"/>
              <w:jc w:val="center"/>
              <w:rPr>
                <w:rFonts w:ascii="仿宋" w:hAnsi="仿宋" w:eastAsia="仿宋"/>
                <w:sz w:val="24"/>
                <w:szCs w:val="21"/>
              </w:rPr>
            </w:pPr>
          </w:p>
        </w:tc>
        <w:tc>
          <w:tcPr>
            <w:tcW w:w="1878" w:type="dxa"/>
            <w:vAlign w:val="center"/>
          </w:tcPr>
          <w:p>
            <w:pPr>
              <w:spacing w:line="240" w:lineRule="atLeast"/>
              <w:jc w:val="center"/>
              <w:rPr>
                <w:rFonts w:ascii="仿宋" w:hAnsi="仿宋" w:eastAsia="仿宋"/>
                <w:sz w:val="24"/>
                <w:szCs w:val="21"/>
              </w:rPr>
            </w:pPr>
          </w:p>
        </w:tc>
        <w:tc>
          <w:tcPr>
            <w:tcW w:w="1107" w:type="dxa"/>
            <w:vAlign w:val="center"/>
          </w:tcPr>
          <w:p>
            <w:pPr>
              <w:spacing w:line="240" w:lineRule="atLeast"/>
              <w:jc w:val="center"/>
              <w:rPr>
                <w:rFonts w:ascii="仿宋" w:hAnsi="仿宋" w:eastAsia="仿宋"/>
                <w:sz w:val="24"/>
                <w:szCs w:val="21"/>
              </w:rPr>
            </w:pPr>
          </w:p>
        </w:tc>
        <w:tc>
          <w:tcPr>
            <w:tcW w:w="1200" w:type="dxa"/>
            <w:gridSpan w:val="2"/>
            <w:vAlign w:val="center"/>
          </w:tcPr>
          <w:p>
            <w:pPr>
              <w:spacing w:line="240" w:lineRule="atLeast"/>
              <w:jc w:val="center"/>
              <w:rPr>
                <w:rFonts w:ascii="仿宋" w:hAnsi="仿宋" w:eastAsia="仿宋"/>
                <w:sz w:val="24"/>
                <w:szCs w:val="21"/>
              </w:rPr>
            </w:pPr>
          </w:p>
        </w:tc>
        <w:tc>
          <w:tcPr>
            <w:tcW w:w="820" w:type="dxa"/>
            <w:vAlign w:val="center"/>
          </w:tcPr>
          <w:p>
            <w:pPr>
              <w:spacing w:line="240" w:lineRule="atLeast"/>
              <w:jc w:val="center"/>
              <w:rPr>
                <w:rFonts w:ascii="仿宋" w:hAnsi="仿宋" w:eastAsia="仿宋"/>
                <w:sz w:val="24"/>
                <w:szCs w:val="21"/>
              </w:rPr>
            </w:pPr>
          </w:p>
        </w:tc>
        <w:tc>
          <w:tcPr>
            <w:tcW w:w="1119" w:type="dxa"/>
            <w:vAlign w:val="center"/>
          </w:tcPr>
          <w:p>
            <w:pPr>
              <w:spacing w:line="240" w:lineRule="atLeast"/>
              <w:jc w:val="center"/>
              <w:rPr>
                <w:rFonts w:ascii="仿宋" w:hAnsi="仿宋" w:eastAsia="仿宋"/>
                <w:sz w:val="24"/>
                <w:szCs w:val="21"/>
              </w:rPr>
            </w:pPr>
          </w:p>
        </w:tc>
        <w:tc>
          <w:tcPr>
            <w:tcW w:w="1445" w:type="dxa"/>
            <w:vAlign w:val="center"/>
          </w:tcPr>
          <w:p>
            <w:pPr>
              <w:spacing w:line="240" w:lineRule="atLeast"/>
              <w:jc w:val="center"/>
              <w:rPr>
                <w:rFonts w:ascii="仿宋" w:hAnsi="仿宋" w:eastAsia="仿宋"/>
                <w:sz w:val="24"/>
                <w:szCs w:val="21"/>
              </w:rPr>
            </w:pPr>
          </w:p>
        </w:tc>
        <w:tc>
          <w:tcPr>
            <w:tcW w:w="1131" w:type="dxa"/>
            <w:gridSpan w:val="2"/>
            <w:vAlign w:val="center"/>
          </w:tcPr>
          <w:p>
            <w:pPr>
              <w:spacing w:line="240" w:lineRule="atLeast"/>
              <w:jc w:val="center"/>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64" w:type="dxa"/>
            <w:gridSpan w:val="10"/>
            <w:vAlign w:val="center"/>
          </w:tcPr>
          <w:p>
            <w:pPr>
              <w:spacing w:line="240" w:lineRule="atLeast"/>
              <w:rPr>
                <w:rFonts w:ascii="仿宋" w:hAnsi="仿宋" w:eastAsia="仿宋"/>
                <w:sz w:val="24"/>
                <w:szCs w:val="21"/>
              </w:rPr>
            </w:pPr>
            <w:r>
              <w:rPr>
                <w:rFonts w:hint="eastAsia" w:ascii="仿宋" w:hAnsi="仿宋" w:eastAsia="仿宋"/>
                <w:sz w:val="24"/>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64" w:type="dxa"/>
            <w:gridSpan w:val="10"/>
            <w:vAlign w:val="center"/>
          </w:tcPr>
          <w:p>
            <w:pPr>
              <w:spacing w:line="240" w:lineRule="atLeast"/>
              <w:rPr>
                <w:rFonts w:ascii="仿宋" w:hAnsi="仿宋" w:eastAsia="仿宋"/>
                <w:sz w:val="24"/>
                <w:szCs w:val="21"/>
              </w:rPr>
            </w:pPr>
            <w:r>
              <w:rPr>
                <w:rFonts w:hint="eastAsia" w:ascii="仿宋" w:hAnsi="仿宋" w:eastAsia="仿宋"/>
                <w:sz w:val="24"/>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64" w:type="dxa"/>
            <w:gridSpan w:val="10"/>
            <w:vAlign w:val="center"/>
          </w:tcPr>
          <w:p>
            <w:pPr>
              <w:spacing w:line="240" w:lineRule="atLeast"/>
              <w:rPr>
                <w:rFonts w:ascii="仿宋" w:hAnsi="仿宋" w:eastAsia="仿宋"/>
                <w:sz w:val="24"/>
                <w:szCs w:val="21"/>
              </w:rPr>
            </w:pPr>
            <w:r>
              <w:rPr>
                <w:rFonts w:hint="eastAsia" w:ascii="仿宋" w:hAnsi="仿宋" w:eastAsia="仿宋"/>
                <w:sz w:val="24"/>
                <w:szCs w:val="21"/>
              </w:rPr>
              <w:t>本合同价款包括甲方为履行本合同所应支付的全部费用。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64" w:type="dxa"/>
            <w:gridSpan w:val="10"/>
            <w:vAlign w:val="center"/>
          </w:tcPr>
          <w:p>
            <w:pPr>
              <w:spacing w:line="240" w:lineRule="atLeast"/>
              <w:rPr>
                <w:rFonts w:ascii="仿宋" w:hAnsi="仿宋" w:eastAsia="仿宋"/>
                <w:color w:val="FF0000"/>
                <w:sz w:val="24"/>
                <w:szCs w:val="21"/>
              </w:rPr>
            </w:pPr>
            <w:r>
              <w:rPr>
                <w:rFonts w:hint="eastAsia" w:ascii="仿宋" w:hAnsi="仿宋" w:eastAsia="仿宋"/>
                <w:sz w:val="24"/>
                <w:szCs w:val="21"/>
              </w:rPr>
              <w:t>履约保证金：</w:t>
            </w:r>
            <w:r>
              <w:rPr>
                <w:rFonts w:hint="eastAsia" w:ascii="仿宋" w:hAnsi="仿宋" w:eastAsia="仿宋"/>
                <w:sz w:val="24"/>
                <w:szCs w:val="21"/>
                <w:u w:val="single"/>
              </w:rPr>
              <w:t xml:space="preserve"> </w:t>
            </w:r>
            <w:r>
              <w:rPr>
                <w:rFonts w:ascii="仿宋" w:hAnsi="仿宋" w:eastAsia="仿宋"/>
                <w:sz w:val="24"/>
                <w:szCs w:val="21"/>
                <w:u w:val="single"/>
              </w:rPr>
              <w:t xml:space="preserve">      </w:t>
            </w:r>
            <w:r>
              <w:rPr>
                <w:rFonts w:hint="eastAsia" w:ascii="仿宋" w:hAnsi="仿宋" w:eastAsia="仿宋"/>
                <w:sz w:val="24"/>
                <w:szCs w:val="21"/>
              </w:rPr>
              <w:t>元</w:t>
            </w:r>
            <w:r>
              <w:rPr>
                <w:rFonts w:hint="eastAsia" w:ascii="仿宋" w:hAnsi="仿宋" w:eastAsia="仿宋"/>
                <w:sz w:val="24"/>
                <w:szCs w:val="21"/>
                <w:u w:val="single"/>
              </w:rPr>
              <w:t xml:space="preserve">（大写： </w:t>
            </w:r>
            <w:r>
              <w:rPr>
                <w:rFonts w:ascii="仿宋" w:hAnsi="仿宋" w:eastAsia="仿宋"/>
                <w:sz w:val="24"/>
                <w:szCs w:val="21"/>
                <w:u w:val="single"/>
              </w:rPr>
              <w:t xml:space="preserve">         </w:t>
            </w:r>
            <w:r>
              <w:rPr>
                <w:rFonts w:hint="eastAsia" w:ascii="仿宋" w:hAnsi="仿宋" w:eastAsia="仿宋"/>
                <w:sz w:val="24"/>
                <w:szCs w:val="21"/>
              </w:rPr>
              <w:t>元整），乙方全面履行本合同约定的全部义务后 7个工作日内，履约保证金无息退还，乙方应同时提供履约保证金的支付凭证。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trPr>
        <w:tc>
          <w:tcPr>
            <w:tcW w:w="9964" w:type="dxa"/>
            <w:gridSpan w:val="10"/>
          </w:tcPr>
          <w:p>
            <w:pPr>
              <w:pStyle w:val="19"/>
              <w:spacing w:line="240" w:lineRule="atLeast"/>
              <w:ind w:firstLine="0" w:firstLineChars="0"/>
              <w:rPr>
                <w:rFonts w:ascii="仿宋" w:hAnsi="仿宋" w:eastAsia="仿宋"/>
                <w:color w:val="FF0000"/>
                <w:sz w:val="24"/>
                <w:szCs w:val="21"/>
              </w:rPr>
            </w:pPr>
            <w:r>
              <w:rPr>
                <w:rFonts w:hint="eastAsia" w:ascii="仿宋" w:hAnsi="仿宋" w:eastAsia="仿宋"/>
                <w:sz w:val="24"/>
                <w:szCs w:val="21"/>
              </w:rPr>
              <w:t>一、服务要求和质量保证：乙方提供的服务必须是完全符合国家有关标准、地方有关标准、行业有关标准，符合甲方采购文件要求。</w:t>
            </w:r>
          </w:p>
          <w:p>
            <w:pPr>
              <w:spacing w:line="240" w:lineRule="atLeast"/>
              <w:rPr>
                <w:rFonts w:ascii="仿宋" w:hAnsi="仿宋" w:eastAsia="仿宋"/>
                <w:sz w:val="24"/>
                <w:szCs w:val="21"/>
              </w:rPr>
            </w:pPr>
            <w:r>
              <w:rPr>
                <w:rFonts w:hint="eastAsia" w:ascii="仿宋" w:hAnsi="仿宋" w:eastAsia="仿宋"/>
                <w:sz w:val="24"/>
                <w:szCs w:val="21"/>
              </w:rPr>
              <w:t>1.质保期限：</w:t>
            </w:r>
          </w:p>
          <w:p>
            <w:pPr>
              <w:spacing w:line="240" w:lineRule="atLeast"/>
              <w:rPr>
                <w:sz w:val="24"/>
              </w:rPr>
            </w:pPr>
            <w:r>
              <w:rPr>
                <w:rFonts w:hint="eastAsia" w:ascii="仿宋" w:hAnsi="仿宋" w:eastAsia="仿宋"/>
                <w:sz w:val="24"/>
                <w:szCs w:val="21"/>
              </w:rPr>
              <w:t>（1）。</w:t>
            </w:r>
          </w:p>
          <w:p>
            <w:pPr>
              <w:spacing w:line="240" w:lineRule="atLeast"/>
              <w:rPr>
                <w:rFonts w:ascii="仿宋" w:hAnsi="仿宋" w:eastAsia="仿宋"/>
                <w:sz w:val="24"/>
                <w:szCs w:val="21"/>
              </w:rPr>
            </w:pPr>
            <w:r>
              <w:rPr>
                <w:rFonts w:hint="eastAsia" w:ascii="仿宋" w:hAnsi="仿宋" w:eastAsia="仿宋"/>
                <w:sz w:val="24"/>
                <w:szCs w:val="21"/>
              </w:rPr>
              <w:t>（</w:t>
            </w:r>
            <w:r>
              <w:rPr>
                <w:rFonts w:ascii="仿宋" w:hAnsi="仿宋" w:eastAsia="仿宋"/>
                <w:sz w:val="24"/>
                <w:szCs w:val="21"/>
              </w:rPr>
              <w:t>2</w:t>
            </w:r>
            <w:r>
              <w:rPr>
                <w:rFonts w:hint="eastAsia" w:ascii="仿宋" w:hAnsi="仿宋" w:eastAsia="仿宋"/>
                <w:sz w:val="24"/>
                <w:szCs w:val="21"/>
              </w:rPr>
              <w:t>）措施：质保期内服务不符合要求的，由乙方提供售后服务，并承担全部费用。售后服务具体要求如下：</w:t>
            </w:r>
          </w:p>
          <w:p>
            <w:pPr>
              <w:spacing w:line="240" w:lineRule="atLeast"/>
              <w:rPr>
                <w:rFonts w:ascii="仿宋" w:hAnsi="仿宋" w:eastAsia="仿宋"/>
                <w:sz w:val="24"/>
              </w:rPr>
            </w:pPr>
            <w:r>
              <w:rPr>
                <w:rFonts w:hint="eastAsia" w:ascii="仿宋" w:hAnsi="仿宋" w:eastAsia="仿宋"/>
                <w:sz w:val="24"/>
              </w:rPr>
              <w:t>a。</w:t>
            </w:r>
          </w:p>
          <w:p>
            <w:pPr>
              <w:spacing w:line="240" w:lineRule="atLeast"/>
              <w:rPr>
                <w:rFonts w:eastAsia="仿宋"/>
              </w:rPr>
            </w:pPr>
            <w:r>
              <w:rPr>
                <w:rFonts w:hint="eastAsia" w:ascii="仿宋" w:hAnsi="仿宋" w:eastAsia="仿宋"/>
                <w:sz w:val="24"/>
              </w:rPr>
              <w:t>b。...</w:t>
            </w:r>
          </w:p>
          <w:p>
            <w:pPr>
              <w:numPr>
                <w:ilvl w:val="0"/>
                <w:numId w:val="5"/>
              </w:numPr>
              <w:spacing w:line="240" w:lineRule="atLeast"/>
              <w:rPr>
                <w:rFonts w:ascii="仿宋" w:hAnsi="仿宋" w:eastAsia="仿宋"/>
                <w:sz w:val="24"/>
                <w:szCs w:val="21"/>
              </w:rPr>
            </w:pPr>
            <w:r>
              <w:rPr>
                <w:rFonts w:hint="eastAsia" w:ascii="仿宋" w:hAnsi="仿宋" w:eastAsia="仿宋"/>
                <w:sz w:val="24"/>
                <w:szCs w:val="21"/>
              </w:rPr>
              <w:t>其他：</w:t>
            </w:r>
          </w:p>
          <w:p>
            <w:pPr>
              <w:spacing w:line="240" w:lineRule="atLeast"/>
              <w:rPr>
                <w:rFonts w:ascii="仿宋" w:hAnsi="仿宋" w:eastAsia="仿宋"/>
                <w:sz w:val="24"/>
                <w:szCs w:val="21"/>
              </w:rPr>
            </w:pPr>
            <w:r>
              <w:rPr>
                <w:rFonts w:ascii="仿宋" w:hAnsi="仿宋" w:eastAsia="仿宋"/>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trPr>
        <w:tc>
          <w:tcPr>
            <w:tcW w:w="9964" w:type="dxa"/>
            <w:gridSpan w:val="10"/>
          </w:tcPr>
          <w:p>
            <w:pPr>
              <w:numPr>
                <w:ilvl w:val="0"/>
                <w:numId w:val="6"/>
              </w:numPr>
              <w:spacing w:line="240" w:lineRule="atLeast"/>
              <w:rPr>
                <w:rFonts w:ascii="仿宋" w:hAnsi="仿宋" w:eastAsia="仿宋"/>
                <w:sz w:val="24"/>
                <w:szCs w:val="21"/>
              </w:rPr>
            </w:pPr>
            <w:r>
              <w:rPr>
                <w:rFonts w:hint="eastAsia" w:ascii="仿宋" w:hAnsi="仿宋" w:eastAsia="仿宋"/>
                <w:sz w:val="24"/>
                <w:szCs w:val="21"/>
              </w:rPr>
              <w:t>服务方式：</w:t>
            </w:r>
          </w:p>
          <w:p>
            <w:pPr>
              <w:spacing w:line="240" w:lineRule="atLeast"/>
              <w:rPr>
                <w:rFonts w:ascii="仿宋" w:hAnsi="仿宋"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9964" w:type="dxa"/>
            <w:gridSpan w:val="10"/>
          </w:tcPr>
          <w:p>
            <w:pPr>
              <w:spacing w:line="240" w:lineRule="atLeast"/>
              <w:rPr>
                <w:rFonts w:ascii="仿宋" w:hAnsi="仿宋" w:eastAsia="仿宋"/>
                <w:sz w:val="24"/>
                <w:szCs w:val="21"/>
              </w:rPr>
            </w:pPr>
            <w:r>
              <w:rPr>
                <w:rFonts w:hint="eastAsia" w:ascii="仿宋" w:hAnsi="仿宋" w:eastAsia="仿宋"/>
                <w:sz w:val="24"/>
                <w:szCs w:val="21"/>
              </w:rPr>
              <w:t>三、权利瑕疵担保</w:t>
            </w:r>
          </w:p>
          <w:p>
            <w:pPr>
              <w:spacing w:line="240" w:lineRule="atLeast"/>
              <w:rPr>
                <w:rFonts w:ascii="仿宋" w:hAnsi="仿宋" w:eastAsia="仿宋"/>
                <w:sz w:val="24"/>
                <w:szCs w:val="21"/>
              </w:rPr>
            </w:pPr>
            <w:r>
              <w:rPr>
                <w:rFonts w:hint="eastAsia" w:ascii="仿宋" w:hAnsi="仿宋" w:eastAsia="仿宋"/>
                <w:sz w:val="24"/>
                <w:szCs w:val="21"/>
              </w:rPr>
              <w:t>（1）乙方保证对其交付的服务及成果享有合法的权利。</w:t>
            </w:r>
          </w:p>
          <w:p>
            <w:pPr>
              <w:spacing w:line="240" w:lineRule="atLeast"/>
            </w:pPr>
            <w:r>
              <w:rPr>
                <w:rFonts w:hint="eastAsia" w:ascii="仿宋" w:hAnsi="仿宋" w:eastAsia="仿宋"/>
                <w:sz w:val="24"/>
                <w:szCs w:val="21"/>
              </w:rPr>
              <w:t>（2）乙方保证在服务上不存在任何未曾向甲方透露的担保物权，如抵押权、质押权、留置权等。</w:t>
            </w:r>
          </w:p>
          <w:p>
            <w:pPr>
              <w:spacing w:line="240" w:lineRule="atLeast"/>
              <w:rPr>
                <w:rFonts w:ascii="仿宋" w:hAnsi="仿宋" w:eastAsia="仿宋"/>
                <w:sz w:val="24"/>
                <w:szCs w:val="21"/>
              </w:rPr>
            </w:pPr>
            <w:r>
              <w:rPr>
                <w:rFonts w:hint="eastAsia" w:ascii="仿宋" w:hAnsi="仿宋" w:eastAsia="仿宋"/>
                <w:sz w:val="24"/>
                <w:szCs w:val="21"/>
              </w:rPr>
              <w:t>（3）乙方保证其所交付的服务没有侵犯任何第三人的知识产权和商业秘密等权利。</w:t>
            </w:r>
          </w:p>
          <w:p>
            <w:pPr>
              <w:spacing w:line="240" w:lineRule="atLeast"/>
              <w:rPr>
                <w:rFonts w:ascii="仿宋" w:hAnsi="仿宋" w:eastAsia="仿宋"/>
                <w:sz w:val="24"/>
                <w:szCs w:val="21"/>
              </w:rPr>
            </w:pPr>
            <w:r>
              <w:rPr>
                <w:rFonts w:hint="eastAsia" w:ascii="仿宋" w:hAnsi="仿宋" w:eastAsia="仿宋"/>
                <w:sz w:val="24"/>
                <w:szCs w:val="21"/>
              </w:rPr>
              <w:t>（4）乙方承诺：甲方使用（接受）乙方提供的服务不会受到任何第三方追诉，若因乙方提供的服务及成果存产生法律纠纷，致使甲方受到损失的，乙方应当赔偿甲方的全部损失。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35" w:hRule="atLeast"/>
        </w:trPr>
        <w:tc>
          <w:tcPr>
            <w:tcW w:w="9952" w:type="dxa"/>
            <w:gridSpan w:val="9"/>
          </w:tcPr>
          <w:p>
            <w:pPr>
              <w:spacing w:line="240" w:lineRule="atLeast"/>
              <w:rPr>
                <w:rFonts w:ascii="仿宋" w:hAnsi="仿宋" w:eastAsia="仿宋"/>
                <w:sz w:val="24"/>
                <w:szCs w:val="21"/>
              </w:rPr>
            </w:pPr>
            <w:r>
              <w:rPr>
                <w:rFonts w:hint="eastAsia" w:ascii="仿宋" w:hAnsi="仿宋" w:eastAsia="仿宋"/>
                <w:sz w:val="24"/>
                <w:szCs w:val="21"/>
              </w:rPr>
              <w:t>四、验收标准、方法：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96" w:hRule="atLeast"/>
        </w:trPr>
        <w:tc>
          <w:tcPr>
            <w:tcW w:w="9952" w:type="dxa"/>
            <w:gridSpan w:val="9"/>
          </w:tcPr>
          <w:p>
            <w:pPr>
              <w:pStyle w:val="19"/>
              <w:spacing w:line="240" w:lineRule="atLeast"/>
              <w:ind w:firstLine="0" w:firstLineChars="0"/>
              <w:rPr>
                <w:rFonts w:ascii="仿宋" w:hAnsi="仿宋" w:eastAsia="仿宋"/>
                <w:sz w:val="24"/>
                <w:szCs w:val="21"/>
              </w:rPr>
            </w:pPr>
            <w:r>
              <w:rPr>
                <w:rFonts w:hint="eastAsia" w:ascii="仿宋" w:hAnsi="仿宋" w:eastAsia="仿宋"/>
                <w:sz w:val="24"/>
                <w:szCs w:val="21"/>
              </w:rPr>
              <w:t>五、付款方式：</w:t>
            </w:r>
          </w:p>
          <w:p>
            <w:pPr>
              <w:spacing w:line="240" w:lineRule="atLeast"/>
              <w:rPr>
                <w:rFonts w:ascii="仿宋" w:hAnsi="仿宋" w:eastAsia="仿宋"/>
                <w:color w:val="FF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267" w:hRule="atLeast"/>
        </w:trPr>
        <w:tc>
          <w:tcPr>
            <w:tcW w:w="9952" w:type="dxa"/>
            <w:gridSpan w:val="9"/>
          </w:tcPr>
          <w:p>
            <w:pPr>
              <w:spacing w:line="240" w:lineRule="atLeast"/>
              <w:rPr>
                <w:rFonts w:ascii="仿宋" w:hAnsi="仿宋" w:eastAsia="仿宋"/>
                <w:sz w:val="24"/>
                <w:szCs w:val="21"/>
              </w:rPr>
            </w:pPr>
            <w:r>
              <w:rPr>
                <w:rFonts w:hint="eastAsia" w:ascii="仿宋" w:hAnsi="仿宋" w:eastAsia="仿宋"/>
                <w:sz w:val="24"/>
                <w:szCs w:val="21"/>
              </w:rPr>
              <w:t>六、知识产权归属：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02" w:hRule="atLeast"/>
        </w:trPr>
        <w:tc>
          <w:tcPr>
            <w:tcW w:w="9952" w:type="dxa"/>
            <w:gridSpan w:val="9"/>
          </w:tcPr>
          <w:p>
            <w:pPr>
              <w:spacing w:line="240" w:lineRule="atLeast"/>
              <w:rPr>
                <w:rFonts w:ascii="仿宋" w:hAnsi="仿宋" w:eastAsia="仿宋"/>
                <w:sz w:val="24"/>
                <w:szCs w:val="21"/>
              </w:rPr>
            </w:pPr>
            <w:r>
              <w:rPr>
                <w:rFonts w:hint="eastAsia" w:ascii="仿宋" w:hAnsi="仿宋" w:eastAsia="仿宋"/>
                <w:sz w:val="24"/>
                <w:szCs w:val="21"/>
              </w:rPr>
              <w:t>七、采购承诺：乙方承诺自觉接受并遵守采购文件、本合同的所有条款。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5" w:hRule="atLeast"/>
        </w:trPr>
        <w:tc>
          <w:tcPr>
            <w:tcW w:w="9952" w:type="dxa"/>
            <w:gridSpan w:val="9"/>
          </w:tcPr>
          <w:p>
            <w:pPr>
              <w:spacing w:line="240" w:lineRule="atLeast"/>
              <w:rPr>
                <w:rFonts w:ascii="仿宋" w:hAnsi="仿宋" w:eastAsia="仿宋"/>
                <w:sz w:val="24"/>
                <w:szCs w:val="21"/>
              </w:rPr>
            </w:pPr>
            <w:r>
              <w:rPr>
                <w:rFonts w:hint="eastAsia" w:ascii="仿宋" w:hAnsi="仿宋" w:eastAsia="仿宋"/>
                <w:sz w:val="24"/>
                <w:szCs w:val="21"/>
              </w:rPr>
              <w:t>八、违约责任：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691" w:hRule="atLeast"/>
        </w:trPr>
        <w:tc>
          <w:tcPr>
            <w:tcW w:w="9952" w:type="dxa"/>
            <w:gridSpan w:val="9"/>
          </w:tcPr>
          <w:p>
            <w:pPr>
              <w:spacing w:line="240" w:lineRule="atLeast"/>
              <w:rPr>
                <w:rFonts w:ascii="仿宋" w:hAnsi="仿宋" w:eastAsia="仿宋"/>
                <w:sz w:val="24"/>
                <w:szCs w:val="21"/>
              </w:rPr>
            </w:pPr>
            <w:r>
              <w:rPr>
                <w:rFonts w:hint="eastAsia" w:ascii="仿宋" w:hAnsi="仿宋" w:eastAsia="仿宋"/>
                <w:sz w:val="24"/>
                <w:szCs w:val="21"/>
              </w:rPr>
              <w:t>九、其他约定事项：</w:t>
            </w:r>
          </w:p>
          <w:p>
            <w:pPr>
              <w:spacing w:line="240" w:lineRule="atLeast"/>
              <w:rPr>
                <w:rFonts w:ascii="仿宋" w:hAnsi="仿宋" w:eastAsia="仿宋"/>
                <w:sz w:val="24"/>
                <w:szCs w:val="21"/>
              </w:rPr>
            </w:pPr>
            <w:r>
              <w:rPr>
                <w:rFonts w:hint="eastAsia" w:ascii="仿宋" w:hAnsi="仿宋" w:eastAsia="仿宋"/>
                <w:sz w:val="24"/>
                <w:szCs w:val="21"/>
              </w:rPr>
              <w:t>1</w:t>
            </w:r>
            <w:r>
              <w:rPr>
                <w:rFonts w:ascii="仿宋" w:hAnsi="仿宋" w:eastAsia="仿宋"/>
                <w:sz w:val="24"/>
                <w:szCs w:val="21"/>
              </w:rPr>
              <w:t>.</w:t>
            </w:r>
            <w:r>
              <w:rPr>
                <w:rFonts w:hint="eastAsia" w:ascii="仿宋" w:hAnsi="仿宋" w:eastAsia="仿宋"/>
                <w:sz w:val="24"/>
                <w:szCs w:val="21"/>
              </w:rPr>
              <w:t>采购文件及其补遗文件、响应文件和承诺、及合同附件是本合同不可分割的部分。</w:t>
            </w:r>
          </w:p>
          <w:p>
            <w:pPr>
              <w:spacing w:line="240" w:lineRule="atLeast"/>
              <w:rPr>
                <w:rFonts w:ascii="仿宋" w:hAnsi="仿宋" w:eastAsia="仿宋"/>
                <w:sz w:val="24"/>
                <w:szCs w:val="21"/>
              </w:rPr>
            </w:pPr>
            <w:r>
              <w:rPr>
                <w:rFonts w:hint="eastAsia" w:ascii="仿宋" w:hAnsi="仿宋" w:eastAsia="仿宋"/>
                <w:sz w:val="24"/>
                <w:szCs w:val="21"/>
              </w:rPr>
              <w:t>2.本合同如发生争议由双方协商解决，协商不成向甲方所在地人民法院提请诉讼。</w:t>
            </w:r>
          </w:p>
          <w:p>
            <w:pPr>
              <w:spacing w:line="240" w:lineRule="atLeast"/>
              <w:rPr>
                <w:rFonts w:ascii="仿宋" w:hAnsi="仿宋" w:eastAsia="仿宋"/>
                <w:sz w:val="24"/>
                <w:szCs w:val="21"/>
              </w:rPr>
            </w:pPr>
            <w:r>
              <w:rPr>
                <w:rFonts w:hint="eastAsia" w:ascii="仿宋" w:hAnsi="仿宋" w:eastAsia="仿宋"/>
                <w:sz w:val="24"/>
                <w:szCs w:val="21"/>
              </w:rPr>
              <w:t>3.本合同一式</w:t>
            </w:r>
            <w:r>
              <w:rPr>
                <w:rFonts w:hint="eastAsia" w:ascii="仿宋" w:hAnsi="仿宋" w:eastAsia="仿宋"/>
                <w:sz w:val="24"/>
                <w:szCs w:val="21"/>
                <w:u w:val="single"/>
              </w:rPr>
              <w:t xml:space="preserve">_   </w:t>
            </w:r>
            <w:r>
              <w:rPr>
                <w:rFonts w:hint="eastAsia" w:ascii="仿宋" w:hAnsi="仿宋" w:eastAsia="仿宋"/>
                <w:sz w:val="24"/>
                <w:szCs w:val="21"/>
              </w:rPr>
              <w:t>份， 甲方</w:t>
            </w:r>
            <w:r>
              <w:rPr>
                <w:rFonts w:hint="eastAsia" w:ascii="仿宋" w:hAnsi="仿宋" w:eastAsia="仿宋"/>
                <w:sz w:val="24"/>
                <w:szCs w:val="21"/>
                <w:u w:val="single"/>
              </w:rPr>
              <w:t>_  _</w:t>
            </w:r>
            <w:r>
              <w:rPr>
                <w:rFonts w:hint="eastAsia" w:ascii="仿宋" w:hAnsi="仿宋" w:eastAsia="仿宋"/>
                <w:sz w:val="24"/>
                <w:szCs w:val="21"/>
              </w:rPr>
              <w:t>份，乙方</w:t>
            </w:r>
            <w:r>
              <w:rPr>
                <w:rFonts w:hint="eastAsia" w:ascii="仿宋" w:hAnsi="仿宋" w:eastAsia="仿宋"/>
                <w:sz w:val="24"/>
                <w:szCs w:val="21"/>
                <w:u w:val="single"/>
              </w:rPr>
              <w:t xml:space="preserve">   </w:t>
            </w:r>
            <w:r>
              <w:rPr>
                <w:rFonts w:hint="eastAsia" w:ascii="仿宋" w:hAnsi="仿宋" w:eastAsia="仿宋"/>
                <w:sz w:val="24"/>
                <w:szCs w:val="21"/>
              </w:rPr>
              <w:t>份，具备同等法律效力。</w:t>
            </w:r>
          </w:p>
          <w:p>
            <w:pPr>
              <w:spacing w:line="240" w:lineRule="atLeast"/>
              <w:rPr>
                <w:rFonts w:ascii="仿宋" w:hAnsi="仿宋" w:eastAsia="仿宋"/>
                <w:sz w:val="24"/>
                <w:szCs w:val="21"/>
              </w:rPr>
            </w:pPr>
            <w:r>
              <w:rPr>
                <w:rFonts w:hint="eastAsia" w:ascii="仿宋" w:hAnsi="仿宋" w:eastAsia="仿宋"/>
                <w:sz w:val="24"/>
                <w:szCs w:val="21"/>
              </w:rPr>
              <w:t>4.合同尾页为双方的送达地址，双方据此送达即产生送达的效力。</w:t>
            </w:r>
          </w:p>
          <w:p>
            <w:pPr>
              <w:spacing w:line="240" w:lineRule="atLeast"/>
              <w:rPr>
                <w:rFonts w:ascii="仿宋" w:hAnsi="仿宋" w:eastAsia="仿宋"/>
                <w:sz w:val="24"/>
                <w:szCs w:val="21"/>
              </w:rPr>
            </w:pPr>
            <w:r>
              <w:rPr>
                <w:rFonts w:hint="eastAsia" w:ascii="仿宋" w:hAnsi="仿宋" w:eastAsia="仿宋"/>
                <w:sz w:val="24"/>
                <w:szCs w:val="21"/>
              </w:rPr>
              <w:t>5.其他：</w:t>
            </w:r>
            <w:r>
              <w:rPr>
                <w:rFonts w:hint="eastAsia" w:ascii="仿宋" w:hAnsi="仿宋" w:eastAsia="仿宋"/>
                <w:sz w:val="24"/>
                <w:szCs w:val="21"/>
                <w:u w:val="single"/>
              </w:rPr>
              <w:t xml:space="preserve">             </w:t>
            </w:r>
            <w:r>
              <w:rPr>
                <w:rFonts w:hint="eastAsia" w:ascii="仿宋" w:hAnsi="仿宋" w:eastAsia="仿宋"/>
                <w:sz w:val="24"/>
                <w:szCs w:val="21"/>
              </w:rPr>
              <w:t>。</w:t>
            </w:r>
          </w:p>
          <w:p>
            <w:pPr>
              <w:spacing w:line="240" w:lineRule="atLeast"/>
              <w:rPr>
                <w:rFonts w:ascii="仿宋" w:hAnsi="仿宋" w:eastAsia="仿宋"/>
                <w:sz w:val="24"/>
                <w:szCs w:val="21"/>
              </w:rPr>
            </w:pPr>
            <w:r>
              <w:rPr>
                <w:rFonts w:hint="eastAsia" w:ascii="仿宋" w:hAnsi="仿宋" w:eastAsia="仿宋"/>
                <w:sz w:val="24"/>
                <w:szCs w:val="21"/>
              </w:rPr>
              <w:t xml:space="preserve"> </w:t>
            </w:r>
            <w:r>
              <w:rPr>
                <w:rFonts w:ascii="仿宋" w:hAnsi="仿宋" w:eastAsia="仿宋"/>
                <w:sz w:val="24"/>
                <w:szCs w:val="21"/>
              </w:rPr>
              <w:t>(以</w:t>
            </w:r>
            <w:r>
              <w:rPr>
                <w:rFonts w:hint="eastAsia" w:ascii="仿宋" w:hAnsi="仿宋" w:eastAsia="仿宋"/>
                <w:sz w:val="24"/>
                <w:szCs w:val="21"/>
              </w:rPr>
              <w:t>下无正文，为签署栏</w:t>
            </w:r>
            <w:r>
              <w:rPr>
                <w:rFonts w:ascii="仿宋" w:hAnsi="仿宋" w:eastAsia="仿宋"/>
                <w:sz w:val="24"/>
                <w:szCs w:val="21"/>
              </w:rPr>
              <w:t>)</w:t>
            </w:r>
            <w:r>
              <w:rPr>
                <w:rFonts w:hint="eastAsia" w:ascii="仿宋" w:hAnsi="仿宋" w:eastAsia="仿宋"/>
                <w:sz w:val="24"/>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203" w:hRule="atLeast"/>
        </w:trPr>
        <w:tc>
          <w:tcPr>
            <w:tcW w:w="4361" w:type="dxa"/>
            <w:gridSpan w:val="4"/>
          </w:tcPr>
          <w:p>
            <w:pPr>
              <w:spacing w:line="240" w:lineRule="atLeast"/>
              <w:rPr>
                <w:rFonts w:ascii="仿宋" w:hAnsi="仿宋" w:eastAsia="仿宋"/>
                <w:sz w:val="24"/>
                <w:szCs w:val="21"/>
              </w:rPr>
            </w:pPr>
            <w:r>
              <w:rPr>
                <w:rFonts w:hint="eastAsia" w:ascii="仿宋" w:hAnsi="仿宋" w:eastAsia="仿宋"/>
                <w:sz w:val="24"/>
                <w:szCs w:val="21"/>
              </w:rPr>
              <w:t>甲方：</w:t>
            </w:r>
          </w:p>
          <w:p>
            <w:pPr>
              <w:spacing w:line="240" w:lineRule="atLeast"/>
              <w:rPr>
                <w:rFonts w:ascii="仿宋" w:hAnsi="仿宋" w:eastAsia="仿宋"/>
                <w:sz w:val="24"/>
                <w:szCs w:val="21"/>
              </w:rPr>
            </w:pPr>
            <w:r>
              <w:rPr>
                <w:rFonts w:hint="eastAsia" w:ascii="仿宋" w:hAnsi="仿宋" w:eastAsia="仿宋"/>
                <w:sz w:val="24"/>
                <w:szCs w:val="21"/>
              </w:rPr>
              <w:t>送达地址：</w:t>
            </w:r>
          </w:p>
          <w:p>
            <w:pPr>
              <w:spacing w:line="240" w:lineRule="atLeast"/>
              <w:rPr>
                <w:rFonts w:ascii="仿宋" w:hAnsi="仿宋" w:eastAsia="仿宋"/>
                <w:sz w:val="24"/>
                <w:szCs w:val="21"/>
              </w:rPr>
            </w:pPr>
            <w:r>
              <w:rPr>
                <w:rFonts w:hint="eastAsia" w:ascii="仿宋" w:hAnsi="仿宋" w:eastAsia="仿宋"/>
                <w:sz w:val="24"/>
                <w:szCs w:val="21"/>
              </w:rPr>
              <w:t>联系电话：</w:t>
            </w:r>
          </w:p>
          <w:p>
            <w:pPr>
              <w:spacing w:line="240" w:lineRule="atLeast"/>
              <w:rPr>
                <w:rFonts w:ascii="仿宋" w:hAnsi="仿宋" w:eastAsia="仿宋"/>
                <w:sz w:val="24"/>
                <w:szCs w:val="21"/>
              </w:rPr>
            </w:pPr>
            <w:r>
              <w:rPr>
                <w:rFonts w:hint="eastAsia" w:ascii="仿宋" w:hAnsi="仿宋" w:eastAsia="仿宋"/>
                <w:sz w:val="24"/>
                <w:szCs w:val="21"/>
              </w:rPr>
              <w:t>法定代表人或授权代表：</w:t>
            </w:r>
          </w:p>
        </w:tc>
        <w:tc>
          <w:tcPr>
            <w:tcW w:w="5591" w:type="dxa"/>
            <w:gridSpan w:val="5"/>
          </w:tcPr>
          <w:p>
            <w:pPr>
              <w:spacing w:line="240" w:lineRule="atLeast"/>
              <w:rPr>
                <w:rFonts w:ascii="仿宋" w:hAnsi="仿宋" w:eastAsia="仿宋"/>
                <w:sz w:val="24"/>
                <w:szCs w:val="21"/>
              </w:rPr>
            </w:pPr>
            <w:r>
              <w:rPr>
                <w:rFonts w:hint="eastAsia" w:ascii="仿宋" w:hAnsi="仿宋" w:eastAsia="仿宋"/>
                <w:sz w:val="24"/>
                <w:szCs w:val="21"/>
              </w:rPr>
              <w:t>乙方：</w:t>
            </w:r>
          </w:p>
          <w:p>
            <w:pPr>
              <w:spacing w:line="240" w:lineRule="atLeast"/>
              <w:rPr>
                <w:rFonts w:ascii="仿宋" w:hAnsi="仿宋" w:eastAsia="仿宋"/>
                <w:sz w:val="24"/>
                <w:szCs w:val="21"/>
              </w:rPr>
            </w:pPr>
            <w:r>
              <w:rPr>
                <w:rFonts w:hint="eastAsia" w:ascii="仿宋" w:hAnsi="仿宋" w:eastAsia="仿宋"/>
                <w:sz w:val="24"/>
                <w:szCs w:val="21"/>
              </w:rPr>
              <w:t>送达地址：</w:t>
            </w:r>
          </w:p>
          <w:p>
            <w:pPr>
              <w:spacing w:line="240" w:lineRule="atLeast"/>
              <w:rPr>
                <w:rFonts w:ascii="仿宋" w:hAnsi="仿宋" w:eastAsia="仿宋"/>
                <w:sz w:val="24"/>
                <w:szCs w:val="21"/>
              </w:rPr>
            </w:pPr>
            <w:r>
              <w:rPr>
                <w:rFonts w:hint="eastAsia" w:ascii="仿宋" w:hAnsi="仿宋" w:eastAsia="仿宋"/>
                <w:sz w:val="24"/>
                <w:szCs w:val="21"/>
              </w:rPr>
              <w:t>电话：</w:t>
            </w:r>
          </w:p>
          <w:p>
            <w:pPr>
              <w:spacing w:line="240" w:lineRule="atLeast"/>
              <w:rPr>
                <w:rFonts w:ascii="仿宋" w:hAnsi="仿宋" w:eastAsia="仿宋"/>
                <w:sz w:val="24"/>
                <w:szCs w:val="21"/>
              </w:rPr>
            </w:pPr>
            <w:r>
              <w:rPr>
                <w:rFonts w:hint="eastAsia" w:ascii="仿宋" w:hAnsi="仿宋" w:eastAsia="仿宋"/>
                <w:sz w:val="24"/>
                <w:szCs w:val="21"/>
              </w:rPr>
              <w:t>传真：</w:t>
            </w:r>
          </w:p>
          <w:p>
            <w:pPr>
              <w:spacing w:line="240" w:lineRule="atLeast"/>
              <w:rPr>
                <w:rFonts w:ascii="仿宋" w:hAnsi="仿宋" w:eastAsia="仿宋"/>
                <w:sz w:val="24"/>
                <w:szCs w:val="21"/>
              </w:rPr>
            </w:pPr>
            <w:r>
              <w:rPr>
                <w:rFonts w:hint="eastAsia" w:ascii="仿宋" w:hAnsi="仿宋" w:eastAsia="仿宋"/>
                <w:sz w:val="24"/>
                <w:szCs w:val="21"/>
              </w:rPr>
              <w:t>开户银行：</w:t>
            </w:r>
          </w:p>
          <w:p>
            <w:pPr>
              <w:spacing w:line="240" w:lineRule="atLeast"/>
              <w:rPr>
                <w:rFonts w:ascii="仿宋" w:hAnsi="仿宋" w:eastAsia="仿宋"/>
                <w:sz w:val="24"/>
                <w:szCs w:val="21"/>
              </w:rPr>
            </w:pPr>
            <w:r>
              <w:rPr>
                <w:rFonts w:hint="eastAsia" w:ascii="仿宋" w:hAnsi="仿宋" w:eastAsia="仿宋"/>
                <w:sz w:val="24"/>
                <w:szCs w:val="21"/>
              </w:rPr>
              <w:t>账号：</w:t>
            </w:r>
          </w:p>
          <w:p>
            <w:pPr>
              <w:spacing w:line="240" w:lineRule="atLeast"/>
              <w:rPr>
                <w:rFonts w:ascii="仿宋" w:hAnsi="仿宋" w:eastAsia="仿宋"/>
                <w:sz w:val="24"/>
                <w:szCs w:val="21"/>
              </w:rPr>
            </w:pPr>
            <w:r>
              <w:rPr>
                <w:rFonts w:hint="eastAsia" w:ascii="仿宋" w:hAnsi="仿宋" w:eastAsia="仿宋"/>
                <w:sz w:val="24"/>
                <w:szCs w:val="21"/>
              </w:rPr>
              <w:t>法定代表人或授权代表：</w:t>
            </w:r>
          </w:p>
          <w:p>
            <w:pPr>
              <w:spacing w:line="240" w:lineRule="atLeast"/>
              <w:rPr>
                <w:rFonts w:ascii="仿宋" w:hAnsi="仿宋" w:eastAsia="仿宋"/>
                <w:sz w:val="24"/>
                <w:szCs w:val="21"/>
              </w:rPr>
            </w:pPr>
            <w:r>
              <w:rPr>
                <w:rFonts w:hint="eastAsia" w:ascii="仿宋" w:hAnsi="仿宋" w:eastAsia="仿宋"/>
                <w:sz w:val="24"/>
                <w:szCs w:val="21"/>
              </w:rPr>
              <w:t>（本栏请用计算机打印以便于准确付款，乙方的收款账号以本栏提供的为准，乙方应自行承担因其账号信息错误所造成的全部责任）</w:t>
            </w:r>
          </w:p>
          <w:p>
            <w:pPr>
              <w:spacing w:line="240" w:lineRule="atLeast"/>
              <w:rPr>
                <w:rFonts w:ascii="仿宋" w:hAnsi="仿宋" w:eastAsia="仿宋"/>
                <w:sz w:val="24"/>
                <w:szCs w:val="21"/>
              </w:rPr>
            </w:pPr>
          </w:p>
        </w:tc>
      </w:tr>
    </w:tbl>
    <w:p>
      <w:pPr>
        <w:spacing w:line="500" w:lineRule="exact"/>
        <w:ind w:firstLine="640" w:firstLineChars="200"/>
        <w:rPr>
          <w:rFonts w:ascii="仿宋" w:hAnsi="仿宋" w:eastAsia="仿宋"/>
          <w:sz w:val="32"/>
        </w:rPr>
      </w:pPr>
      <w:r>
        <w:rPr>
          <w:rFonts w:hint="eastAsia" w:ascii="仿宋" w:hAnsi="仿宋" w:eastAsia="仿宋"/>
          <w:sz w:val="32"/>
        </w:rPr>
        <w:t>签约时间：     年   月   日       签约地点：</w:t>
      </w:r>
    </w:p>
    <w:p>
      <w:pPr>
        <w:rPr>
          <w:rFonts w:ascii="仿宋" w:hAnsi="仿宋" w:eastAsia="仿宋" w:cs="仿宋"/>
          <w:sz w:val="24"/>
        </w:rPr>
      </w:pPr>
    </w:p>
    <w:p>
      <w:pP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keepNext/>
        <w:widowControl w:val="0"/>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附件4：</w:t>
      </w:r>
      <w:bookmarkEnd w:id="0"/>
      <w:r>
        <w:rPr>
          <w:rFonts w:hint="eastAsia" w:ascii="方正仿宋_GBK" w:hAnsi="方正仿宋_GBK" w:eastAsia="方正仿宋_GBK" w:cs="方正仿宋_GBK"/>
          <w:sz w:val="32"/>
          <w:szCs w:val="32"/>
        </w:rPr>
        <w:t xml:space="preserve">          </w:t>
      </w:r>
    </w:p>
    <w:p>
      <w:pPr>
        <w:keepNext/>
        <w:widowControl w:val="0"/>
        <w:jc w:val="center"/>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重庆市第七人民医院议价报名表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3"/>
        <w:gridCol w:w="1406"/>
        <w:gridCol w:w="1451"/>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报名单位（加盖公章）</w:t>
            </w:r>
          </w:p>
        </w:tc>
        <w:tc>
          <w:tcPr>
            <w:tcW w:w="5689" w:type="dxa"/>
            <w:gridSpan w:val="3"/>
          </w:tcPr>
          <w:p>
            <w:pP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jc w:val="left"/>
              <w:rPr>
                <w:rFonts w:ascii="方正仿宋_GBK" w:hAnsi="方正仿宋_GBK" w:eastAsia="方正仿宋_GBK" w:cs="方正仿宋_GBK"/>
                <w:sz w:val="32"/>
                <w:szCs w:val="32"/>
              </w:rPr>
            </w:pPr>
          </w:p>
          <w:p>
            <w:pPr>
              <w:jc w:val="left"/>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注册资本金</w:t>
            </w:r>
          </w:p>
        </w:tc>
        <w:tc>
          <w:tcPr>
            <w:tcW w:w="5689" w:type="dxa"/>
            <w:gridSpan w:val="3"/>
          </w:tcPr>
          <w:p>
            <w:pPr>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报名单位联系地址</w:t>
            </w:r>
          </w:p>
        </w:tc>
        <w:tc>
          <w:tcPr>
            <w:tcW w:w="5689" w:type="dxa"/>
            <w:gridSpan w:val="3"/>
          </w:tcPr>
          <w:p>
            <w:pPr>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法定代表人姓名</w:t>
            </w:r>
          </w:p>
        </w:tc>
        <w:tc>
          <w:tcPr>
            <w:tcW w:w="5689" w:type="dxa"/>
            <w:gridSpan w:val="3"/>
          </w:tcPr>
          <w:p>
            <w:pPr>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报名日期</w:t>
            </w:r>
          </w:p>
        </w:tc>
        <w:tc>
          <w:tcPr>
            <w:tcW w:w="5689" w:type="dxa"/>
            <w:gridSpan w:val="3"/>
            <w:vAlign w:val="center"/>
          </w:tcPr>
          <w:p>
            <w:pPr>
              <w:jc w:val="center"/>
              <w:rPr>
                <w:rFonts w:ascii="方正仿宋_GBK" w:hAnsi="方正仿宋_GBK" w:eastAsia="方正仿宋_GBK" w:cs="方正仿宋_GBK"/>
                <w:sz w:val="32"/>
                <w:szCs w:val="32"/>
              </w:rPr>
            </w:pPr>
          </w:p>
          <w:p>
            <w:pPr>
              <w:ind w:firstLine="2240" w:firstLineChars="7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报名项目名称</w:t>
            </w:r>
          </w:p>
        </w:tc>
        <w:tc>
          <w:tcPr>
            <w:tcW w:w="5689" w:type="dxa"/>
            <w:gridSpan w:val="3"/>
          </w:tcPr>
          <w:p>
            <w:pPr>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报名项目编号</w:t>
            </w:r>
          </w:p>
        </w:tc>
        <w:tc>
          <w:tcPr>
            <w:tcW w:w="5689" w:type="dxa"/>
            <w:gridSpan w:val="3"/>
          </w:tcPr>
          <w:p>
            <w:pPr>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3" w:type="dxa"/>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w:t>
            </w:r>
          </w:p>
        </w:tc>
        <w:tc>
          <w:tcPr>
            <w:tcW w:w="1406" w:type="dxa"/>
          </w:tcPr>
          <w:p>
            <w:pPr>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tc>
        <w:tc>
          <w:tcPr>
            <w:tcW w:w="1451" w:type="dxa"/>
            <w:vAlign w:val="center"/>
          </w:tcPr>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w:t>
            </w:r>
          </w:p>
        </w:tc>
        <w:tc>
          <w:tcPr>
            <w:tcW w:w="2832" w:type="dxa"/>
          </w:tcPr>
          <w:p>
            <w:pPr>
              <w:rPr>
                <w:rFonts w:ascii="方正仿宋_GBK" w:hAnsi="方正仿宋_GBK" w:eastAsia="方正仿宋_GBK" w:cs="方正仿宋_GBK"/>
                <w:sz w:val="32"/>
                <w:szCs w:val="32"/>
              </w:rPr>
            </w:pPr>
          </w:p>
        </w:tc>
      </w:tr>
    </w:tbl>
    <w:p>
      <w:pP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填表说明：一个项目对应填写此表一张，报名时与其他报名资料一并递交（请勿将此表装入响应文件密封）</w:t>
      </w:r>
    </w:p>
    <w:p>
      <w:pPr>
        <w:keepNext/>
        <w:widowControl w:val="0"/>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r>
        <w:rPr>
          <w:rFonts w:hint="eastAsia" w:ascii="方正仿宋_GBK" w:hAnsi="方正仿宋_GBK" w:eastAsia="方正仿宋_GBK" w:cs="方正仿宋_GBK"/>
          <w:sz w:val="32"/>
          <w:szCs w:val="32"/>
        </w:rPr>
        <w:t>附件5：</w:t>
      </w:r>
    </w:p>
    <w:p>
      <w:pPr>
        <w:widowControl w:val="0"/>
        <w:tabs>
          <w:tab w:val="left" w:pos="6300"/>
        </w:tabs>
        <w:snapToGrid w:val="0"/>
        <w:spacing w:line="500" w:lineRule="exact"/>
        <w:ind w:firstLine="570"/>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响应人廉洁承诺书</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为加强采购响应活动中的廉政建设。进一步规范采购响应市场、防止发生违法违规行为，体现公开、公平、公正的原则，根据国家有关法律、法规和廉政建设相关规定，本响应人特作出如下承诺：</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1、不与采购人及其他响应人私下串通协商，进行围标、串标、抬标、控制响应价格。</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2、不向采购人、评标专家行贿，以不正当手段谋取成交。</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3、不向采购响应监管人员请客、送礼及组织其它有可能影响公正监管的活动。</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4、自觉遵守开标、评标现场工作纪律，不私下接触评标专家评标秩序。</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5、成交后不订背离合同实质性内容的协议，不进行非法转包、违法分包等。</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如出现上述行为，本响应人自愿承担相关责任，接受招响应监督管理部门、纪检监察部门及司法机关调查处理。</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widowControl w:val="0"/>
        <w:tabs>
          <w:tab w:val="left" w:pos="6300"/>
        </w:tabs>
        <w:snapToGrid w:val="0"/>
        <w:spacing w:line="500" w:lineRule="exact"/>
        <w:ind w:firstLine="570"/>
        <w:rPr>
          <w:rFonts w:ascii="方正仿宋_GBK" w:hAnsi="方正仿宋_GBK" w:eastAsia="方正仿宋_GBK" w:cs="方正仿宋_GBK"/>
          <w:sz w:val="32"/>
          <w:szCs w:val="32"/>
        </w:rPr>
      </w:pPr>
    </w:p>
    <w:p>
      <w:pPr>
        <w:widowControl w:val="0"/>
        <w:tabs>
          <w:tab w:val="left" w:pos="6300"/>
        </w:tabs>
        <w:snapToGrid w:val="0"/>
        <w:spacing w:line="500" w:lineRule="exact"/>
        <w:ind w:firstLine="570"/>
        <w:rPr>
          <w:rFonts w:ascii="方正仿宋_GBK" w:hAnsi="方正仿宋_GBK" w:eastAsia="方正仿宋_GBK" w:cs="方正仿宋_GBK"/>
          <w:sz w:val="32"/>
          <w:szCs w:val="32"/>
        </w:rPr>
      </w:pPr>
    </w:p>
    <w:p>
      <w:pPr>
        <w:widowControl w:val="0"/>
        <w:tabs>
          <w:tab w:val="left" w:pos="6300"/>
        </w:tabs>
        <w:snapToGrid w:val="0"/>
        <w:spacing w:line="500" w:lineRule="exact"/>
        <w:ind w:firstLine="570"/>
        <w:jc w:val="right"/>
        <w:rPr>
          <w:rFonts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响应单位：</w:t>
      </w:r>
      <w:r>
        <w:rPr>
          <w:rFonts w:hint="eastAsia" w:ascii="方正仿宋_GBK" w:hAnsi="方正仿宋_GBK" w:eastAsia="方正仿宋_GBK" w:cs="方正仿宋_GBK"/>
          <w:sz w:val="32"/>
          <w:szCs w:val="32"/>
          <w:u w:val="single"/>
        </w:rPr>
        <w:t xml:space="preserve">              （单位盖章）</w:t>
      </w:r>
    </w:p>
    <w:p>
      <w:pPr>
        <w:widowControl w:val="0"/>
        <w:tabs>
          <w:tab w:val="left" w:pos="6300"/>
        </w:tabs>
        <w:snapToGrid w:val="0"/>
        <w:spacing w:line="500" w:lineRule="exact"/>
        <w:ind w:firstLine="570"/>
        <w:jc w:val="right"/>
        <w:rPr>
          <w:rFonts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法定代表人或授权委托人：</w:t>
      </w:r>
      <w:r>
        <w:rPr>
          <w:rFonts w:hint="eastAsia" w:ascii="方正仿宋_GBK" w:hAnsi="方正仿宋_GBK" w:eastAsia="方正仿宋_GBK" w:cs="方正仿宋_GBK"/>
          <w:sz w:val="32"/>
          <w:szCs w:val="32"/>
          <w:u w:val="single"/>
        </w:rPr>
        <w:t xml:space="preserve">              （签    字）</w:t>
      </w:r>
    </w:p>
    <w:p>
      <w:pPr>
        <w:rPr>
          <w:rFonts w:ascii="方正仿宋_GBK" w:hAnsi="方正仿宋_GBK" w:eastAsia="方正仿宋_GBK" w:cs="方正仿宋_GBK"/>
          <w:sz w:val="32"/>
          <w:szCs w:val="32"/>
        </w:rPr>
      </w:pPr>
    </w:p>
    <w:p>
      <w:pPr>
        <w:widowControl w:val="0"/>
        <w:ind w:firstLine="1600" w:firstLineChars="500"/>
        <w:rPr>
          <w:sz w:val="32"/>
          <w:szCs w:val="32"/>
        </w:rPr>
      </w:pPr>
    </w:p>
    <w:p>
      <w:pPr>
        <w:rPr>
          <w:rFonts w:asciiTheme="minorEastAsia" w:hAnsiTheme="minorEastAsia" w:eastAsiaTheme="minorEastAsia" w:cstheme="minorEastAsia"/>
          <w:b/>
          <w:kern w:val="0"/>
          <w:sz w:val="32"/>
          <w:szCs w:val="32"/>
        </w:rPr>
      </w:pPr>
    </w:p>
    <w:p>
      <w:pPr>
        <w:adjustRightInd w:val="0"/>
        <w:spacing w:line="500" w:lineRule="exact"/>
        <w:rPr>
          <w:rFonts w:ascii="仿宋_GB2312" w:eastAsia="仿宋_GB2312"/>
          <w:color w:val="000000"/>
          <w:sz w:val="32"/>
          <w:szCs w:val="32"/>
        </w:rPr>
      </w:pPr>
    </w:p>
    <w:sectPr>
      <w:headerReference r:id="rId3" w:type="default"/>
      <w:footerReference r:id="rId4" w:type="default"/>
      <w:footerReference r:id="rId5"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Style w:val="15"/>
                              <w:sz w:val="21"/>
                              <w:szCs w:val="21"/>
                            </w:rPr>
                          </w:pPr>
                          <w:r>
                            <w:rPr>
                              <w:rStyle w:val="15"/>
                              <w:rFonts w:hint="eastAsia" w:ascii="宋体" w:hAnsi="宋体"/>
                              <w:sz w:val="21"/>
                              <w:szCs w:val="21"/>
                            </w:rPr>
                            <w:t>―</w:t>
                          </w:r>
                          <w:r>
                            <w:fldChar w:fldCharType="begin"/>
                          </w:r>
                          <w:r>
                            <w:rPr>
                              <w:rStyle w:val="15"/>
                            </w:rPr>
                            <w:instrText xml:space="preserve">PAGE  </w:instrText>
                          </w:r>
                          <w:r>
                            <w:fldChar w:fldCharType="separate"/>
                          </w:r>
                          <w:r>
                            <w:rPr>
                              <w:rStyle w:val="15"/>
                            </w:rPr>
                            <w:t>1</w:t>
                          </w:r>
                          <w:r>
                            <w:fldChar w:fldCharType="end"/>
                          </w:r>
                          <w:r>
                            <w:rPr>
                              <w:rStyle w:val="15"/>
                              <w:rFonts w:hint="eastAsia" w:ascii="宋体" w:hAnsi="宋体"/>
                              <w:sz w:val="21"/>
                              <w:szCs w:val="21"/>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9"/>
                      <w:rPr>
                        <w:rStyle w:val="15"/>
                        <w:sz w:val="21"/>
                        <w:szCs w:val="21"/>
                      </w:rPr>
                    </w:pPr>
                    <w:r>
                      <w:rPr>
                        <w:rStyle w:val="15"/>
                        <w:rFonts w:hint="eastAsia" w:ascii="宋体" w:hAnsi="宋体"/>
                        <w:sz w:val="21"/>
                        <w:szCs w:val="21"/>
                      </w:rPr>
                      <w:t>―</w:t>
                    </w:r>
                    <w:r>
                      <w:fldChar w:fldCharType="begin"/>
                    </w:r>
                    <w:r>
                      <w:rPr>
                        <w:rStyle w:val="15"/>
                      </w:rPr>
                      <w:instrText xml:space="preserve">PAGE  </w:instrText>
                    </w:r>
                    <w:r>
                      <w:fldChar w:fldCharType="separate"/>
                    </w:r>
                    <w:r>
                      <w:rPr>
                        <w:rStyle w:val="15"/>
                      </w:rPr>
                      <w:t>1</w:t>
                    </w:r>
                    <w:r>
                      <w:fldChar w:fldCharType="end"/>
                    </w:r>
                    <w:r>
                      <w:rPr>
                        <w:rStyle w:val="15"/>
                        <w:rFonts w:hint="eastAsia" w:ascii="宋体" w:hAnsi="宋体"/>
                        <w:sz w:val="21"/>
                        <w:szCs w:val="21"/>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rPr>
    </w:pPr>
    <w:r>
      <w:fldChar w:fldCharType="begin"/>
    </w:r>
    <w:r>
      <w:rPr>
        <w:rStyle w:val="15"/>
      </w:rPr>
      <w:instrText xml:space="preserve">PAGE  </w:instrText>
    </w:r>
    <w: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17E385"/>
    <w:multiLevelType w:val="singleLevel"/>
    <w:tmpl w:val="8717E385"/>
    <w:lvl w:ilvl="0" w:tentative="0">
      <w:start w:val="3"/>
      <w:numFmt w:val="chineseCounting"/>
      <w:suff w:val="nothing"/>
      <w:lvlText w:val="（%1）"/>
      <w:lvlJc w:val="left"/>
      <w:rPr>
        <w:rFonts w:hint="eastAsia"/>
      </w:rPr>
    </w:lvl>
  </w:abstractNum>
  <w:abstractNum w:abstractNumId="1">
    <w:nsid w:val="B6D48E1A"/>
    <w:multiLevelType w:val="singleLevel"/>
    <w:tmpl w:val="B6D48E1A"/>
    <w:lvl w:ilvl="0" w:tentative="0">
      <w:start w:val="3"/>
      <w:numFmt w:val="chineseCounting"/>
      <w:suff w:val="nothing"/>
      <w:lvlText w:val="%1、"/>
      <w:lvlJc w:val="left"/>
      <w:rPr>
        <w:rFonts w:hint="eastAsia"/>
      </w:rPr>
    </w:lvl>
  </w:abstractNum>
  <w:abstractNum w:abstractNumId="2">
    <w:nsid w:val="D0D27D82"/>
    <w:multiLevelType w:val="singleLevel"/>
    <w:tmpl w:val="D0D27D82"/>
    <w:lvl w:ilvl="0" w:tentative="0">
      <w:start w:val="1"/>
      <w:numFmt w:val="chineseCounting"/>
      <w:suff w:val="nothing"/>
      <w:lvlText w:val="（%1）"/>
      <w:lvlJc w:val="left"/>
      <w:rPr>
        <w:rFonts w:hint="eastAsia"/>
      </w:rPr>
    </w:lvl>
  </w:abstractNum>
  <w:abstractNum w:abstractNumId="3">
    <w:nsid w:val="E57E5B16"/>
    <w:multiLevelType w:val="singleLevel"/>
    <w:tmpl w:val="E57E5B16"/>
    <w:lvl w:ilvl="0" w:tentative="0">
      <w:start w:val="6"/>
      <w:numFmt w:val="chineseCounting"/>
      <w:suff w:val="nothing"/>
      <w:lvlText w:val="%1、"/>
      <w:lvlJc w:val="left"/>
      <w:rPr>
        <w:rFonts w:hint="eastAsia"/>
      </w:rPr>
    </w:lvl>
  </w:abstractNum>
  <w:abstractNum w:abstractNumId="4">
    <w:nsid w:val="F130D621"/>
    <w:multiLevelType w:val="singleLevel"/>
    <w:tmpl w:val="F130D621"/>
    <w:lvl w:ilvl="0" w:tentative="0">
      <w:start w:val="2"/>
      <w:numFmt w:val="decimal"/>
      <w:lvlText w:val="%1."/>
      <w:lvlJc w:val="left"/>
      <w:pPr>
        <w:tabs>
          <w:tab w:val="left" w:pos="312"/>
        </w:tabs>
      </w:pPr>
    </w:lvl>
  </w:abstractNum>
  <w:abstractNum w:abstractNumId="5">
    <w:nsid w:val="F75000E2"/>
    <w:multiLevelType w:val="singleLevel"/>
    <w:tmpl w:val="F75000E2"/>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14932"/>
    <w:rsid w:val="00005165"/>
    <w:rsid w:val="00024481"/>
    <w:rsid w:val="00070A43"/>
    <w:rsid w:val="001532C5"/>
    <w:rsid w:val="0017753E"/>
    <w:rsid w:val="001E7063"/>
    <w:rsid w:val="002174DA"/>
    <w:rsid w:val="00231038"/>
    <w:rsid w:val="002E2472"/>
    <w:rsid w:val="00306C19"/>
    <w:rsid w:val="003D1665"/>
    <w:rsid w:val="003D78C3"/>
    <w:rsid w:val="003E479A"/>
    <w:rsid w:val="003E6F4F"/>
    <w:rsid w:val="00467631"/>
    <w:rsid w:val="0050194A"/>
    <w:rsid w:val="005242CC"/>
    <w:rsid w:val="00613B6F"/>
    <w:rsid w:val="006222A0"/>
    <w:rsid w:val="006D0F65"/>
    <w:rsid w:val="00720EB8"/>
    <w:rsid w:val="00736514"/>
    <w:rsid w:val="00736F24"/>
    <w:rsid w:val="007478BD"/>
    <w:rsid w:val="00773E6A"/>
    <w:rsid w:val="007773EE"/>
    <w:rsid w:val="007F2E3E"/>
    <w:rsid w:val="008A534A"/>
    <w:rsid w:val="008C7B83"/>
    <w:rsid w:val="00965C8B"/>
    <w:rsid w:val="00973CE4"/>
    <w:rsid w:val="009C12F5"/>
    <w:rsid w:val="009F5113"/>
    <w:rsid w:val="00C01392"/>
    <w:rsid w:val="00DC1D9C"/>
    <w:rsid w:val="00DF0A3D"/>
    <w:rsid w:val="00E83911"/>
    <w:rsid w:val="00EB12CE"/>
    <w:rsid w:val="00EB719E"/>
    <w:rsid w:val="00FB0988"/>
    <w:rsid w:val="00FC0264"/>
    <w:rsid w:val="01AB4636"/>
    <w:rsid w:val="05DE40E2"/>
    <w:rsid w:val="07E766AB"/>
    <w:rsid w:val="089937F9"/>
    <w:rsid w:val="08A5729E"/>
    <w:rsid w:val="09503018"/>
    <w:rsid w:val="09E275B0"/>
    <w:rsid w:val="0EB04865"/>
    <w:rsid w:val="0EB35C76"/>
    <w:rsid w:val="11C40402"/>
    <w:rsid w:val="14E404D7"/>
    <w:rsid w:val="18CB65A7"/>
    <w:rsid w:val="1995535F"/>
    <w:rsid w:val="1C0A00F8"/>
    <w:rsid w:val="1CDA594C"/>
    <w:rsid w:val="20035C09"/>
    <w:rsid w:val="221D4B87"/>
    <w:rsid w:val="22A577D8"/>
    <w:rsid w:val="2313607F"/>
    <w:rsid w:val="23B577E3"/>
    <w:rsid w:val="27230617"/>
    <w:rsid w:val="29BB47DA"/>
    <w:rsid w:val="2B7D1AEC"/>
    <w:rsid w:val="2E5A24D9"/>
    <w:rsid w:val="2F1871F6"/>
    <w:rsid w:val="31431525"/>
    <w:rsid w:val="31A91E4C"/>
    <w:rsid w:val="3301206E"/>
    <w:rsid w:val="33437C98"/>
    <w:rsid w:val="339E1158"/>
    <w:rsid w:val="360E0E58"/>
    <w:rsid w:val="38292CB2"/>
    <w:rsid w:val="3B206F2B"/>
    <w:rsid w:val="3BAC7ADE"/>
    <w:rsid w:val="3E141301"/>
    <w:rsid w:val="42653EB6"/>
    <w:rsid w:val="44363490"/>
    <w:rsid w:val="44407168"/>
    <w:rsid w:val="450F2B8A"/>
    <w:rsid w:val="45562EE9"/>
    <w:rsid w:val="4C360DFA"/>
    <w:rsid w:val="4DF37D3C"/>
    <w:rsid w:val="4EFA4617"/>
    <w:rsid w:val="524238D7"/>
    <w:rsid w:val="545E2BF9"/>
    <w:rsid w:val="565D1683"/>
    <w:rsid w:val="571B63BD"/>
    <w:rsid w:val="57965D7D"/>
    <w:rsid w:val="59C17C96"/>
    <w:rsid w:val="59D66BE0"/>
    <w:rsid w:val="59E02EC7"/>
    <w:rsid w:val="5A7377AB"/>
    <w:rsid w:val="5B114932"/>
    <w:rsid w:val="5B6633FF"/>
    <w:rsid w:val="5C4E666D"/>
    <w:rsid w:val="5DA95CAD"/>
    <w:rsid w:val="5DD6518E"/>
    <w:rsid w:val="5DFB4CE4"/>
    <w:rsid w:val="60286C55"/>
    <w:rsid w:val="60B630F6"/>
    <w:rsid w:val="65854C2C"/>
    <w:rsid w:val="67C22482"/>
    <w:rsid w:val="67C47E88"/>
    <w:rsid w:val="69677F3E"/>
    <w:rsid w:val="6A0E3681"/>
    <w:rsid w:val="6E595C87"/>
    <w:rsid w:val="6F5F167C"/>
    <w:rsid w:val="70294DB9"/>
    <w:rsid w:val="70476556"/>
    <w:rsid w:val="70624233"/>
    <w:rsid w:val="71AF3DF6"/>
    <w:rsid w:val="73B10B3B"/>
    <w:rsid w:val="74300697"/>
    <w:rsid w:val="762A12C7"/>
    <w:rsid w:val="76625F3B"/>
    <w:rsid w:val="77273414"/>
    <w:rsid w:val="77B44847"/>
    <w:rsid w:val="77C203B2"/>
    <w:rsid w:val="7AF774FE"/>
    <w:rsid w:val="7E614866"/>
    <w:rsid w:val="7EBC0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2"/>
      <w:lang w:val="en-US" w:eastAsia="zh-CN" w:bidi="ar-SA"/>
    </w:rPr>
  </w:style>
  <w:style w:type="paragraph" w:styleId="5">
    <w:name w:val="heading 2"/>
    <w:next w:val="6"/>
    <w:qFormat/>
    <w:uiPriority w:val="0"/>
    <w:pPr>
      <w:keepNext/>
      <w:keepLines/>
      <w:widowControl w:val="0"/>
      <w:spacing w:before="260" w:after="260" w:line="416" w:lineRule="auto"/>
      <w:jc w:val="both"/>
      <w:outlineLvl w:val="1"/>
    </w:pPr>
    <w:rPr>
      <w:rFonts w:ascii="黑体" w:hAnsi="Arial" w:eastAsia="黑体" w:cs="Times New Roman"/>
      <w:b/>
      <w:kern w:val="2"/>
      <w:sz w:val="28"/>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420"/>
    </w:pPr>
    <w:rPr>
      <w:rFonts w:ascii="宋体" w:hAnsi="宋体"/>
      <w:sz w:val="24"/>
    </w:rPr>
  </w:style>
  <w:style w:type="paragraph" w:styleId="3">
    <w:name w:val="Body Text"/>
    <w:basedOn w:val="1"/>
    <w:next w:val="4"/>
    <w:qFormat/>
    <w:uiPriority w:val="0"/>
    <w:rPr>
      <w:rFonts w:ascii="仿宋_GB2312" w:eastAsia="仿宋_GB2312"/>
      <w:sz w:val="32"/>
    </w:rPr>
  </w:style>
  <w:style w:type="paragraph" w:styleId="4">
    <w:name w:val="Subtitle"/>
    <w:next w:val="1"/>
    <w:qFormat/>
    <w:uiPriority w:val="11"/>
    <w:pPr>
      <w:widowControl w:val="0"/>
      <w:spacing w:after="60"/>
      <w:jc w:val="center"/>
      <w:outlineLvl w:val="1"/>
    </w:pPr>
    <w:rPr>
      <w:rFonts w:ascii="Cambria" w:hAnsi="Cambria" w:eastAsia="等线" w:cs="Times New Roman"/>
      <w:kern w:val="2"/>
      <w:sz w:val="21"/>
      <w:szCs w:val="24"/>
      <w:lang w:val="en-US" w:eastAsia="zh-CN" w:bidi="ar-SA"/>
    </w:rPr>
  </w:style>
  <w:style w:type="paragraph" w:styleId="6">
    <w:name w:val="Normal Indent"/>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7">
    <w:name w:val="Plain Text"/>
    <w:basedOn w:val="1"/>
    <w:qFormat/>
    <w:uiPriority w:val="0"/>
    <w:pPr>
      <w:adjustRightInd w:val="0"/>
      <w:snapToGrid w:val="0"/>
      <w:spacing w:line="360" w:lineRule="auto"/>
    </w:pPr>
    <w:rPr>
      <w:rFonts w:ascii="宋体" w:hAnsi="Courier New"/>
      <w:szCs w:val="20"/>
    </w:rPr>
  </w:style>
  <w:style w:type="paragraph" w:styleId="8">
    <w:name w:val="Balloon Text"/>
    <w:basedOn w:val="1"/>
    <w:unhideWhenUsed/>
    <w:qFormat/>
    <w:uiPriority w:val="99"/>
    <w:rPr>
      <w:sz w:val="18"/>
      <w:szCs w:val="18"/>
    </w:rPr>
  </w:style>
  <w:style w:type="paragraph" w:styleId="9">
    <w:name w:val="footer"/>
    <w:basedOn w:val="1"/>
    <w:link w:val="16"/>
    <w:qFormat/>
    <w:uiPriority w:val="0"/>
    <w:pPr>
      <w:widowControl w:val="0"/>
      <w:tabs>
        <w:tab w:val="center" w:pos="4153"/>
        <w:tab w:val="right" w:pos="8306"/>
      </w:tabs>
      <w:snapToGrid w:val="0"/>
      <w:jc w:val="left"/>
    </w:pPr>
    <w:rPr>
      <w:sz w:val="18"/>
      <w:szCs w:val="18"/>
    </w:rPr>
  </w:style>
  <w:style w:type="paragraph" w:styleId="10">
    <w:name w:val="header"/>
    <w:basedOn w:val="1"/>
    <w:link w:val="18"/>
    <w:qFormat/>
    <w:uiPriority w:val="0"/>
    <w:pPr>
      <w:widowControl w:val="0"/>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widowControl w:val="0"/>
      <w:spacing w:before="120" w:after="120"/>
      <w:jc w:val="left"/>
    </w:pPr>
    <w:rPr>
      <w:rFonts w:ascii="Calibri" w:hAnsi="Calibri"/>
      <w:b/>
      <w:bCs/>
      <w:caps/>
      <w:sz w:val="20"/>
      <w:szCs w:val="20"/>
    </w:rPr>
  </w:style>
  <w:style w:type="table" w:styleId="13">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5">
    <w:name w:val="page number"/>
    <w:basedOn w:val="14"/>
    <w:qFormat/>
    <w:uiPriority w:val="0"/>
  </w:style>
  <w:style w:type="character" w:customStyle="1" w:styleId="16">
    <w:name w:val="页脚 Char"/>
    <w:link w:val="9"/>
    <w:qFormat/>
    <w:uiPriority w:val="0"/>
    <w:rPr>
      <w:kern w:val="2"/>
      <w:sz w:val="18"/>
      <w:szCs w:val="18"/>
    </w:rPr>
  </w:style>
  <w:style w:type="character" w:customStyle="1" w:styleId="17">
    <w:name w:val="页脚 Char1"/>
    <w:basedOn w:val="14"/>
    <w:qFormat/>
    <w:uiPriority w:val="0"/>
    <w:rPr>
      <w:kern w:val="2"/>
      <w:sz w:val="18"/>
      <w:szCs w:val="18"/>
    </w:rPr>
  </w:style>
  <w:style w:type="character" w:customStyle="1" w:styleId="18">
    <w:name w:val="页眉 Char"/>
    <w:basedOn w:val="14"/>
    <w:link w:val="10"/>
    <w:qFormat/>
    <w:uiPriority w:val="0"/>
    <w:rPr>
      <w:kern w:val="2"/>
      <w:sz w:val="18"/>
      <w:szCs w:val="18"/>
    </w:rPr>
  </w:style>
  <w:style w:type="paragraph" w:styleId="19">
    <w:name w:val="List Paragraph"/>
    <w:basedOn w:val="1"/>
    <w:qFormat/>
    <w:uiPriority w:val="0"/>
    <w:pPr>
      <w:widowControl w:val="0"/>
      <w:spacing w:line="360" w:lineRule="auto"/>
      <w:ind w:left="839" w:firstLine="420" w:firstLineChars="200"/>
    </w:pPr>
    <w:rPr>
      <w:rFonts w:ascii="Calibri" w:hAnsi="Calibri"/>
    </w:rPr>
  </w:style>
  <w:style w:type="table" w:customStyle="1" w:styleId="20">
    <w:name w:val="网格型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19</Pages>
  <Words>1159</Words>
  <Characters>6611</Characters>
  <Lines>55</Lines>
  <Paragraphs>15</Paragraphs>
  <TotalTime>13</TotalTime>
  <ScaleCrop>false</ScaleCrop>
  <LinksUpToDate>false</LinksUpToDate>
  <CharactersWithSpaces>7755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2019-12-02T13:28:00Z</dcterms:created>
  <dc:creator>刘秀梅</dc:creator>
  <cp:lastModifiedBy>欧钰琳</cp:lastModifiedBy>
  <cp:lastPrinted>2021-07-07T00:08:00Z</cp:lastPrinted>
  <dcterms:modified xsi:type="dcterms:W3CDTF">2023-01-03T06:33:08Z</dcterms:modified>
  <dc:title>重庆市第七人民医院单一来源采购报价表</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