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五格餐盒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响应品牌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响应规格型号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响应单价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响应数量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35026"/>
    <w:rsid w:val="3D73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2023-07-07T01:28:00Z</dcterms:created>
  <dc:creator>吃嘎嘎不长肉</dc:creator>
  <cp:lastModifiedBy>吃嘎嘎不长肉</cp:lastModifiedBy>
  <dcterms:modified xsi:type="dcterms:W3CDTF">2023-07-07T01:30:57Z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88FA62F6863A41CEB055EEEEED758E0F</vt:lpwstr>
  </property>
</Properties>
</file>