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项目服务方案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要求</w:t>
      </w:r>
    </w:p>
    <w:p>
      <w:pPr>
        <w:ind w:firstLine="600" w:firstLineChars="200"/>
        <w:rPr>
          <w:bCs/>
          <w:sz w:val="30"/>
          <w:szCs w:val="30"/>
        </w:rPr>
      </w:pPr>
    </w:p>
    <w:p>
      <w:pPr>
        <w:ind w:firstLine="600" w:firstLineChars="200"/>
        <w:rPr>
          <w:rFonts w:hint="eastAsia" w:ascii="方正楷体_GBK" w:hAnsi="方正楷体_GBK" w:eastAsia="方正楷体_GBK" w:cs="方正楷体_GBK"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Cs/>
          <w:sz w:val="30"/>
          <w:szCs w:val="30"/>
          <w:lang w:val="en-US" w:eastAsia="zh-CN"/>
        </w:rPr>
        <w:t>一、</w:t>
      </w:r>
      <w:r>
        <w:rPr>
          <w:rFonts w:hint="eastAsia" w:ascii="方正楷体_GBK" w:hAnsi="方正楷体_GBK" w:eastAsia="方正楷体_GBK" w:cs="方正楷体_GBK"/>
          <w:bCs/>
          <w:sz w:val="30"/>
          <w:szCs w:val="30"/>
        </w:rPr>
        <w:t>检验外包项目明细</w:t>
      </w:r>
    </w:p>
    <w:tbl>
      <w:tblPr>
        <w:tblStyle w:val="7"/>
        <w:tblW w:w="9360" w:type="dxa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60"/>
        <w:gridCol w:w="1950"/>
        <w:gridCol w:w="1430"/>
        <w:gridCol w:w="1300"/>
        <w:gridCol w:w="750"/>
        <w:gridCol w:w="13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物价编码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  <w:t>（参与时需填写）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检测方法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出报告时间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样本保存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收费标准（元）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  <w:t>（参与时需填写）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预估数量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IgG抗A、抗B-效价测定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凝集反应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恶性肿瘤特异生长因子(TSGF)测定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化学发光法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丙肝RNA测定（PCR荧光定量法）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荧光定量PCR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4个工作日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促肾上腺皮质激素(ACTH)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化学发光法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冷冻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抗甲状腺微粒体抗体(TMAb)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化学发光法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3-4个工作日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单纯疱疹病毒抗体测定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印迹法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2个工作日</w:t>
            </w:r>
          </w:p>
        </w:tc>
        <w:tc>
          <w:tcPr>
            <w:tcW w:w="7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免疫功能检测(流式细胞法)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流式细胞仪法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2个工作日</w:t>
            </w:r>
          </w:p>
        </w:tc>
        <w:tc>
          <w:tcPr>
            <w:tcW w:w="7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室温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免疫五项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曲霉菌血清学试验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ELISA法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人类白细胞分化抗原B27(HLA-B27)筛查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流式细胞仪法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2个工作日</w:t>
            </w:r>
          </w:p>
        </w:tc>
        <w:tc>
          <w:tcPr>
            <w:tcW w:w="7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室温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α、β地中海贫血基因诊断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PCR法／反向点杂交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儿茶酚胺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6个工作日</w:t>
            </w:r>
          </w:p>
        </w:tc>
        <w:tc>
          <w:tcPr>
            <w:tcW w:w="7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肝纤四项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化学发光法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2个工作日</w:t>
            </w:r>
          </w:p>
        </w:tc>
        <w:tc>
          <w:tcPr>
            <w:tcW w:w="7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肝纤五项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化学发光法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2个工作日</w:t>
            </w:r>
          </w:p>
        </w:tc>
        <w:tc>
          <w:tcPr>
            <w:tcW w:w="7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高血压五项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化学发光法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冷冻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弓形虫(TOX-DNA)定性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PCR法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4个工作日</w:t>
            </w:r>
          </w:p>
        </w:tc>
        <w:tc>
          <w:tcPr>
            <w:tcW w:w="7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抗核抗体测定（ANA）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3-5个工作日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抗核抗体谱16项-定性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抗平滑肌抗体(ASMA)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3-5个工作日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抗双链DNA抗体(dsDNA)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3-5个工作日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抗线粒体抗体(AMA)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3-5个工作日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17-羟基孕酮(17-OHP)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5个工作日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ANCA二项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化学发光法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5个工作日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EB病毒壳抗原IgA抗体(EB-VCA-IgA)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5个工作日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抗心磷脂抗体测定(ACA)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3-5个工作日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唐氏筛查II期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7个工作日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唐氏筛查I期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7个工作日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胰岛素抗体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4个工作日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无创 DNA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高通量测序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10个工作日</w:t>
            </w:r>
          </w:p>
        </w:tc>
        <w:tc>
          <w:tcPr>
            <w:tcW w:w="7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室温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优生五项(TORCH-IgM)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印迹法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真菌抗原三项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ELISA法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血清转铁蛋白测定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3个工作日</w:t>
            </w:r>
          </w:p>
        </w:tc>
        <w:tc>
          <w:tcPr>
            <w:tcW w:w="7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呼吸道病毒九联检（嗜肺军团菌、肺炎支原体、Q热立克次体、肺炎衣原体、腺病毒、呼吸道合胞病毒、流感病毒(甲型、乙型）、副流感病毒）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间接免疫荧光法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2-3天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生长激素(GH)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化学发光法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人乳头瘤病毒23基因分型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反向斑点杂交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风湿11项</w:t>
            </w:r>
          </w:p>
        </w:tc>
        <w:tc>
          <w:tcPr>
            <w:tcW w:w="14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4-6个工作日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冷藏</w:t>
            </w:r>
          </w:p>
        </w:tc>
        <w:tc>
          <w:tcPr>
            <w:tcW w:w="13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0"/>
                <w:szCs w:val="20"/>
              </w:rPr>
              <w:t>80</w:t>
            </w:r>
          </w:p>
        </w:tc>
      </w:tr>
    </w:tbl>
    <w:p>
      <w:pPr>
        <w:ind w:firstLine="600" w:firstLineChars="200"/>
        <w:rPr>
          <w:rFonts w:hint="eastAsia" w:ascii="方正楷体_GBK" w:hAnsi="方正楷体_GBK" w:eastAsia="方正楷体_GBK" w:cs="方正楷体_GBK"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Cs/>
          <w:sz w:val="30"/>
          <w:szCs w:val="30"/>
          <w:lang w:val="en-US" w:eastAsia="zh-CN"/>
        </w:rPr>
        <w:t>二、</w:t>
      </w:r>
      <w:r>
        <w:rPr>
          <w:rFonts w:hint="eastAsia" w:ascii="方正楷体_GBK" w:hAnsi="方正楷体_GBK" w:eastAsia="方正楷体_GBK" w:cs="方正楷体_GBK"/>
          <w:bCs/>
          <w:sz w:val="30"/>
          <w:szCs w:val="30"/>
        </w:rPr>
        <w:t>病理</w:t>
      </w:r>
      <w:r>
        <w:rPr>
          <w:rFonts w:hint="eastAsia" w:ascii="方正楷体_GBK" w:hAnsi="方正楷体_GBK" w:eastAsia="方正楷体_GBK" w:cs="方正楷体_GBK"/>
          <w:bCs/>
          <w:sz w:val="30"/>
          <w:szCs w:val="30"/>
          <w:lang w:eastAsia="zh-CN"/>
        </w:rPr>
        <w:t>外包</w:t>
      </w:r>
      <w:r>
        <w:rPr>
          <w:rFonts w:hint="eastAsia" w:ascii="方正楷体_GBK" w:hAnsi="方正楷体_GBK" w:eastAsia="方正楷体_GBK" w:cs="方正楷体_GBK"/>
          <w:bCs/>
          <w:sz w:val="30"/>
          <w:szCs w:val="30"/>
        </w:rPr>
        <w:t>项目</w:t>
      </w:r>
      <w:r>
        <w:rPr>
          <w:rFonts w:hint="eastAsia" w:ascii="方正楷体_GBK" w:hAnsi="方正楷体_GBK" w:eastAsia="方正楷体_GBK" w:cs="方正楷体_GBK"/>
          <w:bCs/>
          <w:sz w:val="30"/>
          <w:szCs w:val="30"/>
          <w:lang w:eastAsia="zh-CN"/>
        </w:rPr>
        <w:t>明细</w:t>
      </w:r>
    </w:p>
    <w:tbl>
      <w:tblPr>
        <w:tblStyle w:val="7"/>
        <w:tblW w:w="8980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120"/>
        <w:gridCol w:w="1960"/>
        <w:gridCol w:w="1440"/>
        <w:gridCol w:w="1300"/>
        <w:gridCol w:w="760"/>
        <w:gridCol w:w="114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物价编码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  <w:t>（须填写）</w:t>
            </w:r>
          </w:p>
        </w:tc>
        <w:tc>
          <w:tcPr>
            <w:tcW w:w="1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检测方法</w:t>
            </w:r>
          </w:p>
        </w:tc>
        <w:tc>
          <w:tcPr>
            <w:tcW w:w="1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出报告时间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</w:rPr>
              <w:t>样本保存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收费标准（元）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  <w:t>（须填写）</w:t>
            </w:r>
          </w:p>
        </w:tc>
        <w:tc>
          <w:tcPr>
            <w:tcW w:w="6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预估数量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液基薄层细胞制片术检测</w:t>
            </w:r>
          </w:p>
        </w:tc>
        <w:tc>
          <w:tcPr>
            <w:tcW w:w="144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2个工作日</w:t>
            </w:r>
          </w:p>
        </w:tc>
        <w:tc>
          <w:tcPr>
            <w:tcW w:w="7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室温</w:t>
            </w:r>
          </w:p>
        </w:tc>
        <w:tc>
          <w:tcPr>
            <w:tcW w:w="114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1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常规组织病理诊断</w:t>
            </w:r>
          </w:p>
        </w:tc>
        <w:tc>
          <w:tcPr>
            <w:tcW w:w="144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3个工作日</w:t>
            </w:r>
          </w:p>
        </w:tc>
        <w:tc>
          <w:tcPr>
            <w:tcW w:w="7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室温</w:t>
            </w:r>
          </w:p>
        </w:tc>
        <w:tc>
          <w:tcPr>
            <w:tcW w:w="114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非妇科脱落细胞学检查</w:t>
            </w:r>
          </w:p>
        </w:tc>
        <w:tc>
          <w:tcPr>
            <w:tcW w:w="144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2个工作日</w:t>
            </w:r>
          </w:p>
        </w:tc>
        <w:tc>
          <w:tcPr>
            <w:tcW w:w="7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室温</w:t>
            </w:r>
          </w:p>
        </w:tc>
        <w:tc>
          <w:tcPr>
            <w:tcW w:w="114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免疫组织化学染色与免疫组织化学染色与诊断诊断</w:t>
            </w:r>
          </w:p>
        </w:tc>
        <w:tc>
          <w:tcPr>
            <w:tcW w:w="144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3个工作日</w:t>
            </w:r>
          </w:p>
        </w:tc>
        <w:tc>
          <w:tcPr>
            <w:tcW w:w="7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室温</w:t>
            </w:r>
          </w:p>
        </w:tc>
        <w:tc>
          <w:tcPr>
            <w:tcW w:w="114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1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远程术中冰冻切片检查与诊断</w:t>
            </w:r>
          </w:p>
        </w:tc>
        <w:tc>
          <w:tcPr>
            <w:tcW w:w="144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3小时</w:t>
            </w:r>
          </w:p>
        </w:tc>
        <w:tc>
          <w:tcPr>
            <w:tcW w:w="7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冷冻</w:t>
            </w:r>
          </w:p>
        </w:tc>
        <w:tc>
          <w:tcPr>
            <w:tcW w:w="114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11"/>
        <w:spacing w:line="440" w:lineRule="exact"/>
        <w:ind w:firstLine="480" w:firstLineChars="200"/>
        <w:rPr>
          <w:rFonts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医院增加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检测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设备后自行开展的检验项目，院方可随时对以上项目进行调整，同时院方可根据业务开展增加检验、病理项目。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- 12 -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仿宋" w:hAnsi="仿宋" w:eastAsia="仿宋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84469"/>
    <w:rsid w:val="098147A7"/>
    <w:rsid w:val="0A2173DF"/>
    <w:rsid w:val="1C8C2366"/>
    <w:rsid w:val="20476AE3"/>
    <w:rsid w:val="28077DB2"/>
    <w:rsid w:val="2D4C0361"/>
    <w:rsid w:val="34933C34"/>
    <w:rsid w:val="47AD0F98"/>
    <w:rsid w:val="4987334C"/>
    <w:rsid w:val="4AAA2223"/>
    <w:rsid w:val="4F692D37"/>
    <w:rsid w:val="51574E31"/>
    <w:rsid w:val="64644F0F"/>
    <w:rsid w:val="6AB32F75"/>
    <w:rsid w:val="771633A7"/>
    <w:rsid w:val="7D2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1"/>
    <w:basedOn w:val="1"/>
    <w:next w:val="3"/>
    <w:qFormat/>
    <w:uiPriority w:val="0"/>
    <w:pPr>
      <w:widowControl w:val="0"/>
      <w:spacing w:line="240" w:lineRule="auto"/>
      <w:jc w:val="both"/>
    </w:pPr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fyy</cp:lastModifiedBy>
  <dcterms:modified xsi:type="dcterms:W3CDTF">2023-09-28T02:18:22Z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B667E9EBFCD842BC84346321A37CCA81</vt:lpwstr>
  </property>
</Properties>
</file>