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2" w:firstLineChars="200"/>
        <w:jc w:val="center"/>
        <w:textAlignment w:val="auto"/>
        <w:rPr>
          <w:rFonts w:hint="default" w:ascii="方正仿宋_GBK" w:hAnsi="方正仿宋_GBK" w:eastAsia="方正仿宋_GBK" w:cs="方正仿宋_GBK"/>
          <w:b/>
          <w:bCs/>
          <w:sz w:val="40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方正黑体_GBK" w:hAnsi="方正黑体_GBK" w:eastAsia="方正黑体_GBK" w:cs="方正黑体_GBK"/>
          <w:b/>
          <w:bCs/>
          <w:sz w:val="40"/>
          <w:szCs w:val="40"/>
          <w:lang w:val="en-US" w:eastAsia="zh-CN"/>
        </w:rPr>
        <w:t>资质技术商务要求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firstLine="640" w:firstLineChars="200"/>
        <w:jc w:val="both"/>
        <w:textAlignment w:val="auto"/>
        <w:outlineLvl w:val="0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一、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供应商资质要求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方正楷体_GBK" w:hAnsi="方正楷体_GBK" w:eastAsia="方正楷体_GBK" w:cs="方正楷体_GBK"/>
          <w:b w:val="0"/>
          <w:bCs/>
          <w:color w:val="000000"/>
          <w:kern w:val="0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b w:val="0"/>
          <w:bCs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 w:val="0"/>
          <w:bCs/>
          <w:color w:val="000000"/>
          <w:kern w:val="0"/>
          <w:sz w:val="28"/>
          <w:szCs w:val="28"/>
          <w:lang w:val="en-US" w:eastAsia="zh-CN"/>
        </w:rPr>
        <w:t>一</w:t>
      </w:r>
      <w:r>
        <w:rPr>
          <w:rFonts w:hint="eastAsia" w:ascii="方正楷体_GBK" w:hAnsi="方正楷体_GBK" w:eastAsia="方正楷体_GBK" w:cs="方正楷体_GBK"/>
          <w:b w:val="0"/>
          <w:bCs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b w:val="0"/>
          <w:bCs/>
          <w:color w:val="000000"/>
          <w:kern w:val="0"/>
          <w:sz w:val="28"/>
          <w:szCs w:val="28"/>
        </w:rPr>
        <w:t>一般资质文件内容要求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1.具有独立承担民事责任的能力；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2.具有良好的商业信誉和健全的财务会计制度；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3.具有履行合同所必需的设备和专业技术能力；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4.有依法缴纳税收和社会保障资金的良好记录；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5.参加政府采购活动前三年内，在经营活动中没有重大违法记录。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560" w:lineRule="exact"/>
        <w:ind w:firstLine="640" w:firstLineChars="200"/>
        <w:jc w:val="both"/>
        <w:textAlignment w:val="auto"/>
        <w:outlineLvl w:val="0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二、技术参数</w:t>
      </w:r>
    </w:p>
    <w:tbl>
      <w:tblPr>
        <w:tblStyle w:val="7"/>
        <w:tblW w:w="918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1545"/>
        <w:gridCol w:w="5683"/>
        <w:gridCol w:w="660"/>
        <w:gridCol w:w="6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5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参数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白光全彩防水枪式摄像机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300万像素1/2.7"筒型网络摄像机；4/6mm定焦；10M/100M自适应以太网电口；0.01ux(F2.0, AGC ON)，0lux(开启红外)；宽动态范围：120dB；红外补光； 2304*1296@20fps、1920*1080@30fps；支持运动检测、隐私遮盖；供电方式：DC12V±25%、PoE；功作温湿度：-30℃~60℃，≤95%RH；功耗：6W MAX；防护等级：IP66；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白光全彩半球摄像机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300万像素1/2.7"半球型网络摄像机；2.8/4mm定焦；10M/100M自适应以太网电口；0.01ux(F2.0, AGC ON)，0lux(开启红外)；宽动态范围：120dB；红外补光； 2304*1296@20fps、1920*1080@30fps；支持运动检测、隐私遮盖；供电方式：DC12V±25%、PoE；功作温湿度：-30℃~60℃，≤95%RH；功耗：6W MAX；防护等级：IP66；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录像机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可接驳符合ONVIF、RTSP标准的众多主流厂商网络摄像机；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支持接入H.265、H.2644视频编码码流；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支持GB28181协议，轻松实现平台接入；支持安装8Tb及以上监控硬盘。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监控专用硬盘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8T监控盘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机柜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6U机柜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显示器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19寸显示器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立杆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不锈钢3M立杆，安装，地笼，水泥浇筑，挖沟等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安装调试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及辅材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安装调试，对接传输环保局监控平台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520" w:lineRule="exact"/>
        <w:ind w:firstLine="640" w:firstLineChars="200"/>
        <w:jc w:val="both"/>
        <w:textAlignment w:val="auto"/>
        <w:outlineLvl w:val="0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Hans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三、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Hans"/>
        </w:rPr>
        <w:t>商务要求</w:t>
      </w:r>
    </w:p>
    <w:p>
      <w:pPr>
        <w:pStyle w:val="1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jc w:val="left"/>
        <w:textAlignment w:val="auto"/>
        <w:outlineLvl w:val="0"/>
        <w:rPr>
          <w:rFonts w:hint="eastAsia" w:ascii="方正楷体_GBK" w:hAnsi="方正楷体_GBK" w:eastAsia="方正楷体_GBK" w:cs="方正楷体_GBK"/>
          <w:b/>
          <w:bCs/>
          <w:color w:val="000000"/>
          <w:sz w:val="28"/>
          <w:szCs w:val="28"/>
          <w:lang w:eastAsia="zh-Hans"/>
        </w:rPr>
      </w:pPr>
      <w:bookmarkStart w:id="0" w:name="_Toc25689"/>
      <w:r>
        <w:rPr>
          <w:rFonts w:hint="eastAsia" w:ascii="方正楷体_GBK" w:hAnsi="方正楷体_GBK" w:eastAsia="方正楷体_GBK" w:cs="方正楷体_GBK"/>
          <w:kern w:val="2"/>
          <w:sz w:val="28"/>
          <w:szCs w:val="28"/>
          <w:lang w:val="en-US" w:eastAsia="zh-CN" w:bidi="ar-SA"/>
        </w:rPr>
        <w:t>（一）</w:t>
      </w:r>
      <w:r>
        <w:rPr>
          <w:rFonts w:hint="eastAsia" w:ascii="方正楷体_GBK" w:hAnsi="方正楷体_GBK" w:eastAsia="方正楷体_GBK" w:cs="方正楷体_GBK"/>
          <w:kern w:val="2"/>
          <w:sz w:val="28"/>
          <w:szCs w:val="28"/>
          <w:lang w:val="en-US" w:eastAsia="zh-Hans" w:bidi="ar-SA"/>
        </w:rPr>
        <w:t>实施时间、实施地点</w:t>
      </w:r>
      <w:bookmarkEnd w:id="0"/>
    </w:p>
    <w:p>
      <w:pPr>
        <w:pStyle w:val="1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firstLine="560" w:firstLineChars="200"/>
        <w:jc w:val="left"/>
        <w:textAlignment w:val="auto"/>
        <w:outlineLvl w:val="0"/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实施时间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地点</w:t>
      </w:r>
    </w:p>
    <w:p>
      <w:pPr>
        <w:pStyle w:val="1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接到医院通知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eastAsia="zh-Hans"/>
        </w:rPr>
        <w:t>后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eastAsia="zh-Hans"/>
        </w:rPr>
        <w:t>个日历日内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完成上门改造调试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eastAsia="zh-Hans"/>
        </w:rPr>
        <w:t>。</w:t>
      </w:r>
    </w:p>
    <w:p>
      <w:pPr>
        <w:pStyle w:val="1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jc w:val="left"/>
        <w:textAlignment w:val="auto"/>
        <w:outlineLvl w:val="0"/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验收标准</w:t>
      </w:r>
    </w:p>
    <w:p>
      <w:pPr>
        <w:pStyle w:val="1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安装调试完成后，以采购方出具验收报告视为最终验收。</w:t>
      </w:r>
    </w:p>
    <w:p>
      <w:pPr>
        <w:pStyle w:val="1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jc w:val="left"/>
        <w:textAlignment w:val="auto"/>
        <w:outlineLvl w:val="0"/>
        <w:rPr>
          <w:rFonts w:hint="default" w:ascii="方正楷体_GBK" w:hAnsi="方正楷体_GBK" w:eastAsia="方正楷体_GBK" w:cs="方正楷体_GBK"/>
          <w:kern w:val="2"/>
          <w:sz w:val="28"/>
          <w:szCs w:val="28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2"/>
          <w:sz w:val="28"/>
          <w:szCs w:val="28"/>
          <w:lang w:val="en-US" w:eastAsia="zh-CN" w:bidi="ar-SA"/>
        </w:rPr>
        <w:t>（二）</w:t>
      </w:r>
      <w:r>
        <w:rPr>
          <w:rFonts w:hint="default" w:ascii="方正楷体_GBK" w:hAnsi="方正楷体_GBK" w:eastAsia="方正楷体_GBK" w:cs="方正楷体_GBK"/>
          <w:kern w:val="2"/>
          <w:sz w:val="28"/>
          <w:szCs w:val="28"/>
          <w:lang w:val="en-US" w:eastAsia="zh-CN" w:bidi="ar-SA"/>
        </w:rPr>
        <w:t>最高限价及报价要求</w:t>
      </w:r>
    </w:p>
    <w:p>
      <w:pPr>
        <w:pStyle w:val="1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1.项目最高限价￥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19900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元（大写：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壹万玖仟玖佰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元整）。</w:t>
      </w:r>
    </w:p>
    <w:p>
      <w:pPr>
        <w:pStyle w:val="1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2.本次报价须为人民币报价，包含：人工、设备、材料、产品基价、税费（含关税）、差旅费、安装调试等一切与此项目有关的所有费用。</w:t>
      </w:r>
    </w:p>
    <w:p>
      <w:pPr>
        <w:pStyle w:val="1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jc w:val="left"/>
        <w:textAlignment w:val="auto"/>
        <w:outlineLvl w:val="0"/>
        <w:rPr>
          <w:rFonts w:hint="default" w:ascii="方正楷体_GBK" w:hAnsi="方正楷体_GBK" w:eastAsia="方正楷体_GBK" w:cs="方正楷体_GBK"/>
          <w:kern w:val="2"/>
          <w:sz w:val="28"/>
          <w:szCs w:val="28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2"/>
          <w:sz w:val="28"/>
          <w:szCs w:val="28"/>
          <w:lang w:val="en-US" w:eastAsia="zh-CN" w:bidi="ar-SA"/>
        </w:rPr>
        <w:t>（三）</w:t>
      </w:r>
      <w:r>
        <w:rPr>
          <w:rFonts w:hint="default" w:ascii="方正楷体_GBK" w:hAnsi="方正楷体_GBK" w:eastAsia="方正楷体_GBK" w:cs="方正楷体_GBK"/>
          <w:kern w:val="2"/>
          <w:sz w:val="28"/>
          <w:szCs w:val="28"/>
          <w:lang w:val="en-US" w:eastAsia="zh-CN" w:bidi="ar-SA"/>
        </w:rPr>
        <w:t>质保要求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1.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项目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验收通过之日起质保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一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年。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</w:rPr>
        <w:t>质保期内设备因质量问题出现故障或不合格部分均由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/>
        </w:rPr>
        <w:t>中标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</w:rPr>
        <w:t>方负责修复并承担费用。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/>
        </w:rPr>
        <w:t>除院方书面同意外，质保期间中标方维修需采用原厂配件进行更换。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</w:rPr>
        <w:t>2.质保期内，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/>
        </w:rPr>
        <w:t>中标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</w:rPr>
        <w:t>方应在接到报修后，应在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</w:rPr>
        <w:t>小时内到达约定的地点进行维修，特殊情况双方应尊重当时事实情况商定。</w:t>
      </w:r>
    </w:p>
    <w:p>
      <w:pPr>
        <w:pStyle w:val="1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jc w:val="left"/>
        <w:textAlignment w:val="auto"/>
        <w:outlineLvl w:val="0"/>
        <w:rPr>
          <w:rFonts w:hint="default" w:ascii="方正楷体_GBK" w:hAnsi="方正楷体_GBK" w:eastAsia="方正楷体_GBK" w:cs="方正楷体_GBK"/>
          <w:kern w:val="2"/>
          <w:sz w:val="28"/>
          <w:szCs w:val="28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2"/>
          <w:sz w:val="28"/>
          <w:szCs w:val="28"/>
          <w:lang w:val="en-US" w:eastAsia="zh-CN" w:bidi="ar-SA"/>
        </w:rPr>
        <w:t>（四）</w:t>
      </w:r>
      <w:r>
        <w:rPr>
          <w:rFonts w:hint="default" w:ascii="方正楷体_GBK" w:hAnsi="方正楷体_GBK" w:eastAsia="方正楷体_GBK" w:cs="方正楷体_GBK"/>
          <w:kern w:val="2"/>
          <w:sz w:val="28"/>
          <w:szCs w:val="28"/>
          <w:lang w:val="en-US" w:eastAsia="zh-CN" w:bidi="ar-SA"/>
        </w:rPr>
        <w:t>付款方式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vertAlign w:val="baseline"/>
          <w:lang w:val="en-US" w:eastAsia="zh-CN"/>
        </w:rPr>
        <w:t>调试安装完毕，验收合格之后，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收到供应商发票后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个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工作日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内支付合同金额的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95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%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；验收通过一年质保期满后支付合同金额的5%（不计息）。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Palatino">
    <w:altName w:val="Palatino Linotype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71A3B"/>
    <w:rsid w:val="05843A4A"/>
    <w:rsid w:val="23AF3553"/>
    <w:rsid w:val="325A7729"/>
    <w:rsid w:val="34933C34"/>
    <w:rsid w:val="47E93F4C"/>
    <w:rsid w:val="4AAA2223"/>
    <w:rsid w:val="4F692D37"/>
    <w:rsid w:val="51574E31"/>
    <w:rsid w:val="535968FA"/>
    <w:rsid w:val="5D2F6A93"/>
    <w:rsid w:val="5EAE780A"/>
    <w:rsid w:val="620B4B6B"/>
    <w:rsid w:val="64644F0F"/>
    <w:rsid w:val="6AB32F75"/>
    <w:rsid w:val="771633A7"/>
    <w:rsid w:val="79CE7EC0"/>
    <w:rsid w:val="79E1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tabs>
        <w:tab w:val="left" w:pos="3360"/>
      </w:tabs>
      <w:snapToGrid w:val="0"/>
      <w:spacing w:before="312" w:beforeLines="100" w:after="156" w:afterLines="50" w:line="800" w:lineRule="atLeast"/>
      <w:jc w:val="center"/>
      <w:outlineLvl w:val="0"/>
    </w:pPr>
    <w:rPr>
      <w:rFonts w:eastAsia="黑体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">
    <w:name w:val="默认"/>
    <w:qFormat/>
    <w:uiPriority w:val="0"/>
    <w:rPr>
      <w:rFonts w:hint="eastAsia" w:ascii="Arial Unicode MS" w:hAnsi="Arial Unicode MS" w:eastAsia="Palatino" w:cs="Arial Unicode MS"/>
      <w:color w:val="000000"/>
      <w:sz w:val="24"/>
      <w:szCs w:val="24"/>
      <w:lang w:val="zh-TW" w:eastAsia="zh-TW" w:bidi="ar-SA"/>
    </w:rPr>
  </w:style>
  <w:style w:type="paragraph" w:styleId="5">
    <w:name w:val="footer"/>
    <w:basedOn w:val="1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方正仿宋_GBK" w:cs="Times New Roman"/>
      <w:kern w:val="2"/>
      <w:sz w:val="18"/>
      <w:szCs w:val="18"/>
      <w:lang w:val="en-US" w:eastAsia="zh-CN" w:bidi="ar-SA"/>
    </w:rPr>
  </w:style>
  <w:style w:type="paragraph" w:styleId="6">
    <w:name w:val="header"/>
    <w:basedOn w:val="1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9">
    <w:name w:val="page number"/>
    <w:basedOn w:val="8"/>
    <w:qFormat/>
    <w:uiPriority w:val="0"/>
  </w:style>
  <w:style w:type="paragraph" w:customStyle="1" w:styleId="10">
    <w:name w:val="列表段落1"/>
    <w:basedOn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2021-08-11T06:09:00Z</dcterms:created>
  <dc:creator>Administrator</dc:creator>
  <cp:lastModifiedBy>fyy</cp:lastModifiedBy>
  <dcterms:modified xsi:type="dcterms:W3CDTF">2023-10-07T01:33:47Z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79722BA386864E928242F62773A56416</vt:lpwstr>
  </property>
</Properties>
</file>