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/>
        </w:rPr>
      </w:pP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报价清单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</w:tcPr>
          <w:p>
            <w:pPr>
              <w:pStyle w:val="2"/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03" w:type="dxa"/>
          </w:tcPr>
          <w:p>
            <w:pPr>
              <w:pStyle w:val="2"/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  <w:t>厂家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  <w:t>单价（元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pStyle w:val="2"/>
              <w:rPr>
                <w:rFonts w:hint="eastAsia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E57BD3"/>
    <w:multiLevelType w:val="singleLevel"/>
    <w:tmpl w:val="F9E57B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9B71D3E"/>
    <w:rsid w:val="25C841D1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2024-09-19T01:18:07Z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