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购买超声骨刀及低温冰箱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（一）、超声骨刀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1. 电源电压：100V-240V~  50Hz/60Hz最大输入功率：170VA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 工作尖尖端主振幅：20~200μm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工作尖尖端横向振幅：＜5μm 工作尖振动频率：24.0 kHz ~36.0 kHz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.蠕动泵流量：30~110mL/min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.导出的输出声功率：200~490mW 主声输出面积：&lt;10 mm2 次级横振声输出面积：&lt;20 mm2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 多功能脚踏，可灵活控制模式、功率和水量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脚踏防水等级：IPX8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.可反复高温高压灭菌的供水泵管；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（二）低温冰箱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制冷系统：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1、国际知名品牌压缩机，环保高效碳氢制冷剂，制冷速度快，制冷效率高，耗电量低；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2、采用单机自复叠制冷系统，故障率更低，制冷性能更稳定；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3、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4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蒸发器采用传热高效铜管，预埋在内箱壁上，以传导方式制冷，节省内部空间；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4、高密度保温发泡层采用环保环戊烷发泡剂，保温效果好。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</w:rPr>
        <w:t>温度控制：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1、精准的温度控制，显示精度达到0.1℃；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2、温度设定值偏差保护，避免误操作；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3、箱内温度稳定在-40℃~-86℃范围内</w:t>
      </w:r>
    </w:p>
    <w:p>
      <w:pPr>
        <w:spacing w:line="400" w:lineRule="exact"/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外箱体采用优质冷轧钢板，表面经环保陶化、喷涂工艺处理，内箱体采用国际标准SUS304不锈钢。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有效容量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100-200L。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F745BD7"/>
    <w:rsid w:val="278F5FC0"/>
    <w:rsid w:val="2A936037"/>
    <w:rsid w:val="2F573D19"/>
    <w:rsid w:val="3B0039A1"/>
    <w:rsid w:val="3B0E247C"/>
    <w:rsid w:val="3CB14335"/>
    <w:rsid w:val="3D727B48"/>
    <w:rsid w:val="449F5190"/>
    <w:rsid w:val="487B772C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2024-10-14T01:26:10Z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