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3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工期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响应价格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小写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人民币）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24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技术响应情况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 </w:t>
            </w:r>
          </w:p>
        </w:tc>
        <w:tc>
          <w:tcPr>
            <w:tcW w:w="68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□完全响应             □未完全响应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未完全响应原因说明：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928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2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3" w:firstLineChars="200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（注：复印件均需加盖单位印章，原件备查。若需要原件未能及时提供的，将导致资格审查不合格。）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（一）营业执照复印件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说明：投标人按“三证合一”登记制度办理营业执照的，组织机构代码证和税务登记证以投标人所提供的法人营业执照（副本）复印件为准。</w:t>
      </w: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numPr>
          <w:ilvl w:val="0"/>
          <w:numId w:val="1"/>
        </w:numPr>
        <w:ind w:firstLine="640" w:firstLineChars="200"/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28"/>
          <w:highlight w:val="none"/>
          <w:lang w:eastAsia="zh-CN"/>
        </w:rPr>
        <w:t>检测资质</w:t>
      </w: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>文件</w:t>
      </w:r>
    </w:p>
    <w:p>
      <w:pPr>
        <w:pStyle w:val="2"/>
        <w:numPr>
          <w:numId w:val="0"/>
        </w:numPr>
        <w:ind w:firstLine="640" w:firstLineChars="200"/>
        <w:rPr>
          <w:rFonts w:hint="default" w:asci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>说明：所有证照必须年审合格，且在有效期内；复印件必须清晰可见，且加盖供应商单位鲜章。</w:t>
      </w:r>
      <w:bookmarkStart w:id="0" w:name="_GoBack"/>
      <w:bookmarkEnd w:id="0"/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1A3B4B"/>
    <w:multiLevelType w:val="singleLevel"/>
    <w:tmpl w:val="B91A3B4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841D1"/>
    <w:rsid w:val="025A6048"/>
    <w:rsid w:val="25C841D1"/>
    <w:rsid w:val="7E7B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2022-11-09T08:12:00Z</dcterms:created>
  <dc:creator>吃嘎嘎不长肉</dc:creator>
  <cp:lastModifiedBy>777</cp:lastModifiedBy>
  <dcterms:modified xsi:type="dcterms:W3CDTF">2024-11-01T02:45:57Z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0D37EC48F2AA4DDF9AA85F03C6F4F871</vt:lpwstr>
  </property>
</Properties>
</file>