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widowControl/>
        <w:kinsoku/>
        <w:wordWrap/>
        <w:overflowPunct/>
        <w:topLinePunct w:val="0"/>
        <w:bidi w:val="0"/>
        <w:snapToGrid w:val="0"/>
        <w:spacing w:line="540" w:lineRule="exact"/>
        <w:rPr>
          <w:rFonts w:hint="eastAsia" w:ascii="仿宋_GB2312" w:eastAsia="仿宋_GB2312"/>
          <w:b/>
          <w:bCs/>
          <w:color w:val="auto"/>
          <w:sz w:val="32"/>
          <w:szCs w:val="28"/>
          <w:highlight w:val="none"/>
          <w:lang w:val="en-US" w:eastAsia="zh-CN"/>
        </w:rPr>
      </w:pPr>
      <w:r>
        <w:rPr>
          <w:rFonts w:hint="eastAsia" w:ascii="仿宋_GB2312" w:eastAsia="仿宋_GB2312"/>
          <w:b/>
          <w:bCs/>
          <w:color w:val="auto"/>
          <w:sz w:val="32"/>
          <w:szCs w:val="28"/>
          <w:highlight w:val="none"/>
          <w:lang w:val="en-US" w:eastAsia="zh-CN"/>
        </w:rPr>
        <w:t>一、需求情况：</w:t>
      </w:r>
    </w:p>
    <w:p>
      <w:pPr>
        <w:pStyle w:val="3"/>
        <w:rPr>
          <w:rFonts w:hint="default"/>
          <w:color w:val="auto"/>
          <w:lang w:val="en-US" w:eastAsia="zh-CN"/>
        </w:rPr>
      </w:pP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b/>
          <w:bCs/>
          <w:color w:val="auto"/>
          <w:sz w:val="24"/>
          <w:highlight w:val="none"/>
          <w:lang w:val="en-US" w:eastAsia="zh-CN"/>
        </w:rPr>
        <w:t>（一）技术参数</w:t>
      </w:r>
      <w:r>
        <w:rPr>
          <w:rFonts w:hint="eastAsia" w:ascii="方正仿宋_GBK" w:hAnsi="宋体" w:eastAsia="方正仿宋_GBK"/>
          <w:color w:val="auto"/>
          <w:sz w:val="24"/>
          <w:highlight w:val="none"/>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1. 瓶装水为纯净水</w:t>
      </w:r>
      <w:r>
        <w:rPr>
          <w:rFonts w:hint="eastAsia" w:ascii="方正仿宋_GBK" w:hAnsi="宋体" w:eastAsia="方正仿宋_GBK"/>
          <w:color w:val="auto"/>
          <w:sz w:val="24"/>
          <w:highlight w:val="none"/>
          <w:lang w:val="en-US" w:eastAsia="zh-CN"/>
        </w:rPr>
        <w:t>或</w:t>
      </w:r>
      <w:r>
        <w:rPr>
          <w:rFonts w:hint="eastAsia" w:ascii="方正仿宋_GBK" w:hAnsi="宋体" w:eastAsia="方正仿宋_GBK"/>
          <w:color w:val="auto"/>
          <w:sz w:val="24"/>
          <w:highlight w:val="none"/>
          <w:lang w:val="en-US" w:eastAsia="zh-CN"/>
        </w:rPr>
        <w:t>矿泉水，规格：大于330ml小于等于</w:t>
      </w:r>
      <w:r>
        <w:rPr>
          <w:rFonts w:hint="default" w:ascii="方正仿宋_GBK" w:hAnsi="宋体" w:eastAsia="方正仿宋_GBK"/>
          <w:color w:val="auto"/>
          <w:sz w:val="24"/>
          <w:highlight w:val="none"/>
          <w:lang w:val="en-US" w:eastAsia="zh-CN"/>
        </w:rPr>
        <w:t>500ml</w:t>
      </w:r>
      <w:r>
        <w:rPr>
          <w:rFonts w:hint="eastAsia" w:ascii="方正仿宋_GBK" w:hAnsi="宋体" w:eastAsia="方正仿宋_GBK"/>
          <w:color w:val="auto"/>
          <w:sz w:val="24"/>
          <w:highlight w:val="none"/>
          <w:lang w:val="en-US" w:eastAsia="zh-CN"/>
        </w:rPr>
        <w:t>。供应商提供的纯净水质量应符合《食品安全国家标准包装饮用水</w:t>
      </w:r>
      <w:r>
        <w:rPr>
          <w:rFonts w:hint="default" w:ascii="方正仿宋_GBK" w:hAnsi="宋体" w:eastAsia="方正仿宋_GBK"/>
          <w:color w:val="auto"/>
          <w:sz w:val="24"/>
          <w:highlight w:val="none"/>
          <w:lang w:val="en-US" w:eastAsia="zh-CN"/>
        </w:rPr>
        <w:t>GB19298-2014</w:t>
      </w:r>
      <w:r>
        <w:rPr>
          <w:rFonts w:hint="eastAsia" w:ascii="方正仿宋_GBK" w:hAnsi="宋体" w:eastAsia="方正仿宋_GBK"/>
          <w:color w:val="auto"/>
          <w:sz w:val="24"/>
          <w:highlight w:val="none"/>
          <w:lang w:val="en-US" w:eastAsia="zh-CN"/>
        </w:rPr>
        <w:t>》、饮用天然矿泉水符合</w:t>
      </w:r>
      <w:r>
        <w:rPr>
          <w:rFonts w:hint="default" w:ascii="方正仿宋_GBK" w:hAnsi="宋体" w:eastAsia="方正仿宋_GBK"/>
          <w:color w:val="auto"/>
          <w:sz w:val="24"/>
          <w:highlight w:val="none"/>
          <w:lang w:val="en-US" w:eastAsia="zh-CN"/>
        </w:rPr>
        <w:t>GB 8537-2018</w:t>
      </w:r>
      <w:r>
        <w:rPr>
          <w:rFonts w:hint="eastAsia" w:ascii="方正仿宋_GBK" w:hAnsi="宋体" w:eastAsia="方正仿宋_GBK"/>
          <w:color w:val="auto"/>
          <w:sz w:val="24"/>
          <w:highlight w:val="none"/>
          <w:lang w:val="en-US" w:eastAsia="zh-CN"/>
        </w:rPr>
        <w:t>标准。《预包装食品标签通则》</w:t>
      </w:r>
      <w:r>
        <w:rPr>
          <w:rFonts w:hint="default" w:ascii="方正仿宋_GBK" w:hAnsi="宋体" w:eastAsia="方正仿宋_GBK"/>
          <w:color w:val="auto"/>
          <w:sz w:val="24"/>
          <w:highlight w:val="none"/>
          <w:lang w:val="en-US" w:eastAsia="zh-CN"/>
        </w:rPr>
        <w:t>GB 7718-2011</w:t>
      </w:r>
      <w:r>
        <w:rPr>
          <w:rFonts w:hint="eastAsia" w:ascii="方正仿宋_GBK" w:hAnsi="宋体" w:eastAsia="方正仿宋_GBK"/>
          <w:color w:val="auto"/>
          <w:sz w:val="24"/>
          <w:highlight w:val="none"/>
          <w:lang w:val="en-US" w:eastAsia="zh-CN"/>
        </w:rPr>
        <w:t>、《中华人民共和国产品质量法》以及国家或行业标准。</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2. 供应商所提供的定制产品的包装应当符合相关法律法规的规定，用中文标明产品名称、生产厂厂名与厂址、规格、采用的产品标准、质量检验合格证明、生产日期及其他有关说明等，根据定制产品的特性，应以保证产品搬运、装卸、运输安全的原则进行包装。</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3. 中选供应商需对定制水瓶外标进行设计，瓶标的包装设计效果图应含有医院logo等元素，包装设计最终效果图需征得院同意方可印制。中选供应商保证在本合同履行期间所提供产品瓶标设计样稿、图片等无侵害第三人知识产权。</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b/>
          <w:bCs/>
          <w:color w:val="auto"/>
          <w:sz w:val="24"/>
          <w:highlight w:val="none"/>
          <w:lang w:val="en-US" w:eastAsia="zh-CN"/>
        </w:rPr>
        <w:t>（二）商务条款</w:t>
      </w:r>
      <w:r>
        <w:rPr>
          <w:rFonts w:hint="eastAsia" w:ascii="方正仿宋_GBK" w:hAnsi="宋体" w:eastAsia="方正仿宋_GBK"/>
          <w:color w:val="auto"/>
          <w:sz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1. 供应商必须是在中华人民共和国境内注册具有独立法人资格的生产企业或经生产企业委托授权的经销商。重庆市主城九区范围内有经营点。</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2.产品的交货方式为：供应商负责送货，货物送到院内指定地点。供应商按院方要求分批次配送，单次订货量不低于</w:t>
      </w:r>
      <w:r>
        <w:rPr>
          <w:rFonts w:hint="default" w:ascii="方正仿宋_GBK" w:hAnsi="宋体" w:eastAsia="方正仿宋_GBK"/>
          <w:color w:val="auto"/>
          <w:sz w:val="24"/>
          <w:highlight w:val="none"/>
          <w:lang w:val="en-US" w:eastAsia="zh-CN"/>
        </w:rPr>
        <w:t>100</w:t>
      </w:r>
      <w:r>
        <w:rPr>
          <w:rFonts w:hint="eastAsia" w:ascii="方正仿宋_GBK" w:hAnsi="宋体" w:eastAsia="方正仿宋_GBK"/>
          <w:color w:val="auto"/>
          <w:sz w:val="24"/>
          <w:highlight w:val="none"/>
          <w:lang w:val="en-US" w:eastAsia="zh-CN"/>
        </w:rPr>
        <w:t>件。</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3. 定制水价格包干，</w:t>
      </w:r>
      <w:r>
        <w:rPr>
          <w:rFonts w:hint="eastAsia" w:ascii="方正仿宋_GBK" w:hAnsi="宋体" w:eastAsia="方正仿宋_GBK"/>
          <w:color w:val="auto"/>
          <w:sz w:val="24"/>
          <w:highlight w:val="none"/>
          <w:lang w:val="en-US" w:eastAsia="zh-CN"/>
        </w:rPr>
        <w:t>供应商对矿泉水和纯净水分别报价（可任选一进行报价）。</w:t>
      </w:r>
      <w:r>
        <w:rPr>
          <w:rFonts w:hint="eastAsia" w:ascii="方正仿宋_GBK" w:hAnsi="宋体" w:eastAsia="方正仿宋_GBK"/>
          <w:color w:val="auto"/>
          <w:sz w:val="24"/>
          <w:highlight w:val="none"/>
          <w:lang w:val="en-US" w:eastAsia="zh-CN"/>
        </w:rPr>
        <w:t>包干价包含：瓶外标设计费、制版费、印刷费、货物价、运输费（含装卸费、上下车费）、配送费、保管费、保险费、管理费、利润、税金等。瓶装水要求提供一件的样品，最终提供的定制产品符合双方确认的样品标准。</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left"/>
        <w:textAlignment w:val="auto"/>
        <w:rPr>
          <w:rFonts w:hint="eastAsia" w:ascii="方正仿宋_GBK" w:hAnsi="宋体" w:eastAsia="方正仿宋_GBK"/>
          <w:color w:val="auto"/>
          <w:sz w:val="24"/>
          <w:highlight w:val="none"/>
          <w:lang w:val="en-US" w:eastAsia="zh-CN"/>
        </w:rPr>
      </w:pPr>
      <w:r>
        <w:rPr>
          <w:rFonts w:hint="eastAsia" w:ascii="方正仿宋_GBK" w:hAnsi="宋体" w:eastAsia="方正仿宋_GBK"/>
          <w:color w:val="auto"/>
          <w:sz w:val="24"/>
          <w:highlight w:val="none"/>
          <w:lang w:val="en-US" w:eastAsia="zh-CN"/>
        </w:rPr>
        <w:t>4.付款方式：按批次支付，验收合格根据单批采购量*单价进行支付，供应商开具有效发票后15个工作日内支付该批次货款。</w:t>
      </w:r>
    </w:p>
    <w:p>
      <w:pPr>
        <w:pStyle w:val="2"/>
        <w:ind w:left="0" w:leftChars="0" w:firstLine="0" w:firstLineChars="0"/>
        <w:rPr>
          <w:rFonts w:hint="default"/>
          <w:color w:val="auto"/>
          <w:lang w:val="en-US" w:eastAsia="zh-CN"/>
        </w:rPr>
      </w:pPr>
      <w:r>
        <w:rPr>
          <w:rFonts w:hint="eastAsia" w:ascii="方正仿宋_GBK" w:hAnsi="宋体" w:eastAsia="方正仿宋_GBK"/>
          <w:b/>
          <w:bCs/>
          <w:color w:val="auto"/>
          <w:sz w:val="24"/>
          <w:highlight w:val="none"/>
          <w:lang w:val="en-US" w:eastAsia="zh-CN"/>
        </w:rPr>
        <w:t>（三）其他</w:t>
      </w:r>
      <w:r>
        <w:rPr>
          <w:rFonts w:hint="eastAsia" w:ascii="方正仿宋_GBK" w:hAnsi="宋体" w:eastAsia="方正仿宋_GBK"/>
          <w:color w:val="auto"/>
          <w:sz w:val="24"/>
          <w:highlight w:val="none"/>
          <w:lang w:val="en-US" w:eastAsia="zh-CN"/>
        </w:rPr>
        <w:t>：其他未尽事宜双方在合同中约定。</w:t>
      </w: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val="en-US" w:eastAsia="zh-CN"/>
        </w:rPr>
      </w:pPr>
      <w:r>
        <w:rPr>
          <w:rFonts w:hint="eastAsia" w:ascii="仿宋_GB2312" w:eastAsia="仿宋_GB2312"/>
          <w:b/>
          <w:bCs/>
          <w:sz w:val="32"/>
          <w:szCs w:val="28"/>
          <w:highlight w:val="none"/>
          <w:lang w:val="en-US" w:eastAsia="zh-CN"/>
        </w:rPr>
        <w:t>二、响应资料：</w:t>
      </w: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lang w:val="en-US" w:eastAsia="zh-CN"/>
        </w:rPr>
        <w:t>（一）</w:t>
      </w:r>
      <w:r>
        <w:rPr>
          <w:rFonts w:hint="eastAsia" w:ascii="仿宋_GB2312" w:eastAsia="仿宋_GB2312"/>
          <w:b/>
          <w:bCs/>
          <w:sz w:val="32"/>
          <w:szCs w:val="28"/>
          <w:highlight w:val="none"/>
        </w:rPr>
        <w:t>报价一览表</w:t>
      </w:r>
      <w:r>
        <w:rPr>
          <w:rFonts w:hint="eastAsia" w:ascii="仿宋_GB2312" w:eastAsia="仿宋_GB2312"/>
          <w:b/>
          <w:bCs/>
          <w:sz w:val="32"/>
          <w:szCs w:val="28"/>
          <w:highlight w:val="none"/>
          <w:lang w:eastAsia="zh-CN"/>
        </w:rPr>
        <w:t>：</w:t>
      </w:r>
    </w:p>
    <w:p>
      <w:pPr>
        <w:pStyle w:val="3"/>
        <w:rPr>
          <w:rFonts w:hint="eastAsia" w:ascii="仿宋_GB2312" w:eastAsia="仿宋_GB2312"/>
          <w:b/>
          <w:bCs/>
          <w:sz w:val="32"/>
          <w:szCs w:val="28"/>
          <w:highlight w:val="none"/>
          <w:lang w:eastAsia="zh-CN"/>
        </w:rPr>
      </w:pPr>
    </w:p>
    <w:p>
      <w:pPr>
        <w:pStyle w:val="3"/>
        <w:rPr>
          <w:rFonts w:hint="eastAsia" w:ascii="仿宋_GB2312" w:eastAsia="仿宋_GB2312"/>
          <w:b/>
          <w:bCs/>
          <w:sz w:val="32"/>
          <w:szCs w:val="28"/>
          <w:highlight w:val="none"/>
          <w:lang w:eastAsia="zh-CN"/>
        </w:rPr>
      </w:pPr>
    </w:p>
    <w:p>
      <w:pPr>
        <w:keepLines w:val="0"/>
        <w:pageBreakBefore w:val="0"/>
        <w:tabs>
          <w:tab w:val="left" w:pos="6300"/>
        </w:tabs>
        <w:kinsoku/>
        <w:wordWrap/>
        <w:overflowPunct/>
        <w:topLinePunct w:val="0"/>
        <w:bidi w:val="0"/>
        <w:snapToGrid w:val="0"/>
        <w:spacing w:line="540" w:lineRule="exact"/>
        <w:ind w:firstLine="640" w:firstLineChars="200"/>
        <w:rPr>
          <w:rFonts w:hint="eastAsia" w:ascii="仿宋_GB2312" w:eastAsia="仿宋_GB2312"/>
          <w:sz w:val="32"/>
          <w:szCs w:val="28"/>
          <w:highlight w:val="none"/>
          <w:u w:val="single"/>
        </w:rPr>
      </w:pPr>
      <w:r>
        <w:rPr>
          <w:rFonts w:hint="eastAsia" w:ascii="仿宋_GB2312" w:eastAsia="仿宋_GB2312"/>
          <w:sz w:val="32"/>
          <w:szCs w:val="28"/>
          <w:highlight w:val="none"/>
        </w:rPr>
        <w:t>项目名称：</w:t>
      </w:r>
      <w:r>
        <w:rPr>
          <w:rFonts w:hint="eastAsia" w:ascii="仿宋_GB2312" w:eastAsia="仿宋_GB2312"/>
          <w:sz w:val="32"/>
          <w:szCs w:val="28"/>
          <w:highlight w:val="none"/>
          <w:u w:val="single"/>
        </w:rPr>
        <w:t xml:space="preserve">    </w:t>
      </w:r>
      <w:r>
        <w:rPr>
          <w:rFonts w:hint="eastAsia" w:ascii="仿宋_GB2312" w:eastAsia="仿宋_GB2312"/>
          <w:sz w:val="32"/>
          <w:szCs w:val="28"/>
          <w:highlight w:val="none"/>
          <w:u w:val="single"/>
          <w:lang w:val="en-US" w:eastAsia="zh-CN"/>
        </w:rPr>
        <w:t xml:space="preserve">                        </w:t>
      </w:r>
      <w:r>
        <w:rPr>
          <w:rFonts w:hint="eastAsia" w:ascii="仿宋_GB2312" w:eastAsia="仿宋_GB2312"/>
          <w:sz w:val="32"/>
          <w:szCs w:val="28"/>
          <w:highlight w:val="none"/>
          <w:u w:val="single"/>
        </w:rPr>
        <w:t xml:space="preserve">          </w:t>
      </w:r>
    </w:p>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u w:val="single"/>
        </w:rPr>
      </w:pPr>
    </w:p>
    <w:tbl>
      <w:tblPr>
        <w:tblStyle w:val="5"/>
        <w:tblpPr w:leftFromText="180" w:rightFromText="180" w:vertAnchor="text" w:horzAnchor="page" w:tblpX="1808" w:tblpY="523"/>
        <w:tblOverlap w:val="never"/>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277"/>
        <w:gridCol w:w="2277"/>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供应商</w:t>
            </w:r>
            <w:r>
              <w:rPr>
                <w:rFonts w:hint="eastAsia" w:ascii="方正仿宋_GBK" w:hAnsi="宋体" w:eastAsia="方正仿宋_GBK"/>
                <w:sz w:val="24"/>
                <w:highlight w:val="none"/>
              </w:rPr>
              <w:t>全称</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联系人</w:t>
            </w: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jc w:val="center"/>
              <w:textAlignment w:val="auto"/>
              <w:rPr>
                <w:rFonts w:hint="eastAsia" w:ascii="方正仿宋_GBK" w:hAnsi="宋体" w:eastAsia="方正仿宋_GBK" w:cs="Times New Roman"/>
                <w:kern w:val="2"/>
                <w:sz w:val="24"/>
                <w:szCs w:val="24"/>
                <w:highlight w:val="none"/>
                <w:lang w:val="en-US" w:eastAsia="zh-CN" w:bidi="ar-SA"/>
              </w:rPr>
            </w:pPr>
          </w:p>
        </w:tc>
        <w:tc>
          <w:tcPr>
            <w:tcW w:w="2277"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jc w:val="center"/>
              <w:textAlignment w:val="auto"/>
              <w:rPr>
                <w:rFonts w:hint="eastAsia" w:ascii="方正仿宋_GBK" w:hAnsi="宋体" w:eastAsia="方正仿宋_GBK" w:cs="Times New Roman"/>
                <w:kern w:val="2"/>
                <w:sz w:val="24"/>
                <w:szCs w:val="24"/>
                <w:highlight w:val="none"/>
                <w:lang w:val="en-US" w:eastAsia="zh-CN" w:bidi="ar-SA"/>
              </w:rPr>
            </w:pPr>
            <w:r>
              <w:rPr>
                <w:rFonts w:hint="eastAsia" w:ascii="方正仿宋_GBK" w:hAnsi="宋体" w:eastAsia="方正仿宋_GBK"/>
                <w:sz w:val="24"/>
                <w:highlight w:val="none"/>
                <w:lang w:val="en-US" w:eastAsia="zh-CN"/>
              </w:rPr>
              <w:t>联系电话</w:t>
            </w:r>
          </w:p>
        </w:tc>
        <w:tc>
          <w:tcPr>
            <w:tcW w:w="227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960" w:firstLineChars="400"/>
              <w:textAlignment w:val="auto"/>
              <w:rPr>
                <w:rFonts w:hint="eastAsia" w:ascii="方正仿宋_GBK" w:hAnsi="宋体" w:eastAsia="方正仿宋_GBK"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合同总金额</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default" w:ascii="方正仿宋_GBK" w:hAnsi="宋体" w:eastAsia="方正仿宋_GBK"/>
                <w:sz w:val="24"/>
                <w:highlight w:val="none"/>
                <w:lang w:val="en-US" w:eastAsia="zh-CN"/>
              </w:rPr>
            </w:pPr>
            <w:r>
              <w:rPr>
                <w:rFonts w:hint="eastAsia" w:ascii="方正仿宋_GBK" w:hAnsi="宋体" w:eastAsia="方正仿宋_GBK"/>
                <w:sz w:val="24"/>
                <w:highlight w:val="none"/>
                <w:lang w:val="en-US" w:eastAsia="zh-CN"/>
              </w:rPr>
              <w:t>45000.00元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trPr>
        <w:tc>
          <w:tcPr>
            <w:tcW w:w="2448" w:type="dxa"/>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lang w:val="en-US" w:eastAsia="zh-CN"/>
              </w:rPr>
              <w:t>单项合计金额</w:t>
            </w:r>
          </w:p>
          <w:p>
            <w:pPr>
              <w:keepNext w:val="0"/>
              <w:keepLines w:val="0"/>
              <w:pageBreakBefore w:val="0"/>
              <w:widowControl w:val="0"/>
              <w:kinsoku/>
              <w:wordWrap/>
              <w:overflowPunct/>
              <w:topLinePunct w:val="0"/>
              <w:autoSpaceDE/>
              <w:autoSpaceDN/>
              <w:bidi w:val="0"/>
              <w:adjustRightInd w:val="0"/>
              <w:snapToGrid/>
              <w:spacing w:line="540" w:lineRule="exact"/>
              <w:ind w:firstLine="0" w:firstLineChars="0"/>
              <w:jc w:val="center"/>
              <w:textAlignment w:val="auto"/>
              <w:rPr>
                <w:rFonts w:hint="eastAsia" w:ascii="方正仿宋_GBK" w:hAnsi="宋体" w:eastAsia="方正仿宋_GBK"/>
                <w:sz w:val="24"/>
                <w:highlight w:val="none"/>
              </w:rPr>
            </w:pPr>
            <w:r>
              <w:rPr>
                <w:rFonts w:hint="eastAsia" w:ascii="方正仿宋_GBK" w:hAnsi="宋体" w:eastAsia="方正仿宋_GBK"/>
                <w:sz w:val="24"/>
                <w:highlight w:val="none"/>
              </w:rPr>
              <w:t>（</w:t>
            </w:r>
            <w:r>
              <w:rPr>
                <w:rFonts w:hint="eastAsia" w:ascii="方正仿宋_GBK" w:hAnsi="宋体" w:eastAsia="方正仿宋_GBK"/>
                <w:sz w:val="24"/>
                <w:highlight w:val="none"/>
                <w:lang w:val="en-US" w:eastAsia="zh-CN"/>
              </w:rPr>
              <w:t>小写</w:t>
            </w:r>
            <w:r>
              <w:rPr>
                <w:rFonts w:hint="eastAsia" w:ascii="方正仿宋_GBK" w:hAnsi="宋体" w:eastAsia="方正仿宋_GBK"/>
                <w:sz w:val="24"/>
                <w:highlight w:val="none"/>
              </w:rPr>
              <w:t xml:space="preserve">人民币） </w:t>
            </w:r>
          </w:p>
        </w:tc>
        <w:tc>
          <w:tcPr>
            <w:tcW w:w="6832" w:type="dxa"/>
            <w:gridSpan w:val="3"/>
            <w:noWrap w:val="0"/>
            <w:vAlign w:val="center"/>
          </w:tcPr>
          <w:p>
            <w:pPr>
              <w:keepNext w:val="0"/>
              <w:keepLines w:val="0"/>
              <w:pageBreakBefore w:val="0"/>
              <w:widowControl w:val="0"/>
              <w:kinsoku/>
              <w:wordWrap/>
              <w:overflowPunct/>
              <w:topLinePunct w:val="0"/>
              <w:autoSpaceDE/>
              <w:autoSpaceDN/>
              <w:bidi w:val="0"/>
              <w:adjustRightInd w:val="0"/>
              <w:snapToGrid/>
              <w:spacing w:line="540" w:lineRule="exact"/>
              <w:ind w:firstLine="0" w:firstLineChars="0"/>
              <w:textAlignment w:val="auto"/>
              <w:rPr>
                <w:rFonts w:hint="eastAsia" w:ascii="方正仿宋_GBK" w:hAnsi="宋体" w:eastAsia="方正仿宋_GBK"/>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60" w:hRule="atLeast"/>
        </w:trPr>
        <w:tc>
          <w:tcPr>
            <w:tcW w:w="9280"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val="0"/>
              <w:snapToGrid/>
              <w:spacing w:line="240" w:lineRule="auto"/>
              <w:ind w:firstLine="0" w:firstLineChars="0"/>
              <w:jc w:val="left"/>
              <w:textAlignment w:val="auto"/>
              <w:rPr>
                <w:rFonts w:hint="default" w:ascii="方正仿宋_GBK" w:hAnsi="宋体" w:eastAsia="方正仿宋_GBK"/>
                <w:sz w:val="24"/>
                <w:highlight w:val="none"/>
                <w:lang w:val="en-US"/>
              </w:rPr>
            </w:pPr>
            <w:r>
              <w:rPr>
                <w:rFonts w:hint="eastAsia" w:ascii="方正仿宋_GBK" w:hAnsi="宋体" w:eastAsia="方正仿宋_GBK"/>
                <w:sz w:val="24"/>
                <w:highlight w:val="none"/>
                <w:lang w:val="en-US" w:eastAsia="zh-CN"/>
              </w:rPr>
              <w:t>其他特殊材料费或其他说明：</w:t>
            </w:r>
          </w:p>
        </w:tc>
      </w:tr>
    </w:tbl>
    <w:p>
      <w:pPr>
        <w:keepLines w:val="0"/>
        <w:pageBreakBefore w:val="0"/>
        <w:kinsoku/>
        <w:wordWrap/>
        <w:overflowPunct/>
        <w:topLinePunct w:val="0"/>
        <w:bidi w:val="0"/>
        <w:spacing w:line="540" w:lineRule="exact"/>
        <w:ind w:firstLine="480" w:firstLineChars="200"/>
        <w:rPr>
          <w:rFonts w:hint="eastAsia" w:ascii="方正仿宋_GBK" w:eastAsia="方正仿宋_GBK"/>
          <w:kern w:val="0"/>
          <w:sz w:val="24"/>
          <w:highlight w:val="none"/>
        </w:rPr>
      </w:pP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响应人：    （公章）                                                                   </w:t>
      </w:r>
    </w:p>
    <w:p>
      <w:pPr>
        <w:keepLines w:val="0"/>
        <w:pageBreakBefore w:val="0"/>
        <w:kinsoku/>
        <w:wordWrap/>
        <w:overflowPunct/>
        <w:topLinePunct w:val="0"/>
        <w:bidi w:val="0"/>
        <w:spacing w:line="540" w:lineRule="exact"/>
        <w:ind w:firstLine="480" w:firstLineChars="200"/>
        <w:jc w:val="right"/>
        <w:rPr>
          <w:rFonts w:hint="eastAsia" w:ascii="方正仿宋_GBK" w:eastAsia="方正仿宋_GBK"/>
          <w:kern w:val="0"/>
          <w:sz w:val="24"/>
          <w:highlight w:val="none"/>
        </w:rPr>
      </w:pPr>
      <w:r>
        <w:rPr>
          <w:rFonts w:hint="eastAsia" w:ascii="方正仿宋_GBK" w:eastAsia="方正仿宋_GBK"/>
          <w:kern w:val="0"/>
          <w:sz w:val="24"/>
          <w:highlight w:val="none"/>
        </w:rPr>
        <w:t xml:space="preserve">  年    月     日</w:t>
      </w:r>
    </w:p>
    <w:p>
      <w:pPr>
        <w:pStyle w:val="3"/>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rPr>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rPr>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rPr>
      </w:pPr>
    </w:p>
    <w:p>
      <w:pPr>
        <w:keepLines w:val="0"/>
        <w:pageBreakBefore w:val="0"/>
        <w:widowControl/>
        <w:kinsoku/>
        <w:wordWrap/>
        <w:overflowPunct/>
        <w:topLinePunct w:val="0"/>
        <w:bidi w:val="0"/>
        <w:snapToGrid w:val="0"/>
        <w:spacing w:line="540" w:lineRule="exact"/>
        <w:rPr>
          <w:rFonts w:hint="eastAsia" w:ascii="仿宋_GB2312" w:eastAsia="仿宋_GB2312"/>
          <w:b/>
          <w:bCs/>
          <w:sz w:val="32"/>
          <w:szCs w:val="28"/>
          <w:highlight w:val="none"/>
          <w:lang w:eastAsia="zh-CN"/>
        </w:rPr>
      </w:pP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二</w:t>
      </w:r>
      <w:r>
        <w:rPr>
          <w:rFonts w:hint="eastAsia" w:ascii="仿宋_GB2312" w:eastAsia="仿宋_GB2312"/>
          <w:b/>
          <w:bCs/>
          <w:sz w:val="32"/>
          <w:szCs w:val="28"/>
          <w:highlight w:val="none"/>
          <w:lang w:eastAsia="zh-CN"/>
        </w:rPr>
        <w:t>）</w:t>
      </w:r>
      <w:r>
        <w:rPr>
          <w:rFonts w:hint="eastAsia" w:ascii="仿宋_GB2312" w:eastAsia="仿宋_GB2312"/>
          <w:b/>
          <w:bCs/>
          <w:sz w:val="32"/>
          <w:szCs w:val="28"/>
          <w:highlight w:val="none"/>
          <w:lang w:val="en-US" w:eastAsia="zh-CN"/>
        </w:rPr>
        <w:t>资料</w:t>
      </w:r>
      <w:r>
        <w:rPr>
          <w:rFonts w:hint="eastAsia" w:ascii="仿宋_GB2312" w:eastAsia="仿宋_GB2312"/>
          <w:b/>
          <w:bCs/>
          <w:sz w:val="32"/>
          <w:szCs w:val="28"/>
          <w:highlight w:val="none"/>
        </w:rPr>
        <w:t>文件</w:t>
      </w:r>
      <w:r>
        <w:rPr>
          <w:rFonts w:hint="eastAsia" w:ascii="仿宋_GB2312" w:eastAsia="仿宋_GB2312"/>
          <w:b/>
          <w:bCs/>
          <w:sz w:val="32"/>
          <w:szCs w:val="28"/>
          <w:highlight w:val="none"/>
          <w:lang w:eastAsia="zh-CN"/>
        </w:rPr>
        <w:t>：</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（注：复印件均需加盖单位印章，原件备查。若需要原件未能及时提供的，将导致资格审查不合格。）</w:t>
      </w:r>
    </w:p>
    <w:p>
      <w:pPr>
        <w:keepLines w:val="0"/>
        <w:pageBreakBefore w:val="0"/>
        <w:widowControl/>
        <w:kinsoku/>
        <w:wordWrap/>
        <w:overflowPunct/>
        <w:topLinePunct w:val="0"/>
        <w:bidi w:val="0"/>
        <w:snapToGrid w:val="0"/>
        <w:spacing w:line="540" w:lineRule="exact"/>
        <w:rPr>
          <w:rFonts w:hint="eastAsia" w:ascii="仿宋_GB2312" w:eastAsia="仿宋_GB2312"/>
          <w:sz w:val="32"/>
          <w:szCs w:val="28"/>
          <w:highlight w:val="none"/>
        </w:rPr>
      </w:pP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lang w:val="en-US" w:eastAsia="zh-CN"/>
        </w:rPr>
        <w:t>1.</w:t>
      </w:r>
      <w:r>
        <w:rPr>
          <w:rFonts w:hint="eastAsia" w:ascii="仿宋_GB2312" w:eastAsia="仿宋_GB2312"/>
          <w:sz w:val="32"/>
          <w:szCs w:val="28"/>
          <w:highlight w:val="none"/>
        </w:rPr>
        <w:t>营业执照复印件</w:t>
      </w:r>
    </w:p>
    <w:p>
      <w:pPr>
        <w:keepLines w:val="0"/>
        <w:pageBreakBefore w:val="0"/>
        <w:widowControl/>
        <w:kinsoku/>
        <w:wordWrap/>
        <w:overflowPunct/>
        <w:topLinePunct w:val="0"/>
        <w:bidi w:val="0"/>
        <w:snapToGrid w:val="0"/>
        <w:spacing w:line="540" w:lineRule="exact"/>
        <w:ind w:firstLine="640" w:firstLineChars="200"/>
        <w:rPr>
          <w:rFonts w:hint="eastAsia" w:ascii="仿宋_GB2312" w:eastAsia="仿宋_GB2312"/>
          <w:sz w:val="32"/>
          <w:szCs w:val="28"/>
          <w:highlight w:val="none"/>
        </w:rPr>
      </w:pPr>
      <w:r>
        <w:rPr>
          <w:rFonts w:hint="eastAsia" w:ascii="仿宋_GB2312" w:eastAsia="仿宋_GB2312"/>
          <w:sz w:val="32"/>
          <w:szCs w:val="28"/>
          <w:highlight w:val="none"/>
        </w:rPr>
        <w:t>说明：投标人按“三证合一”登记制度办理营业执照的，组织机构代码证和税务登记证以投标人所提供的法人营业执照（副本）复印件为准。</w:t>
      </w:r>
    </w:p>
    <w:p>
      <w:pPr>
        <w:pStyle w:val="3"/>
        <w:rPr>
          <w:rFonts w:hint="eastAsia" w:ascii="仿宋_GB2312" w:eastAsia="仿宋_GB2312"/>
          <w:sz w:val="32"/>
          <w:szCs w:val="28"/>
          <w:highlight w:val="none"/>
        </w:rPr>
      </w:pPr>
    </w:p>
    <w:p>
      <w:pPr>
        <w:pStyle w:val="3"/>
        <w:ind w:firstLine="640" w:firstLineChars="200"/>
        <w:rPr>
          <w:rFonts w:hint="eastAsia" w:ascii="仿宋_GB2312" w:hAnsi="Times New Roman" w:eastAsia="仿宋_GB2312" w:cs="Times New Roman"/>
          <w:color w:val="FF0000"/>
          <w:kern w:val="2"/>
          <w:sz w:val="32"/>
          <w:szCs w:val="28"/>
          <w:highlight w:val="none"/>
          <w:lang w:val="en-US" w:eastAsia="zh-CN" w:bidi="ar-SA"/>
        </w:rPr>
      </w:pPr>
      <w:r>
        <w:rPr>
          <w:rFonts w:hint="eastAsia" w:ascii="仿宋_GB2312" w:eastAsia="仿宋_GB2312"/>
          <w:color w:val="FF0000"/>
          <w:sz w:val="32"/>
          <w:szCs w:val="28"/>
          <w:highlight w:val="none"/>
          <w:lang w:val="en-US" w:eastAsia="zh-CN"/>
        </w:rPr>
        <w:t>2.分项报价（如只提供一种，选择一种进行报价）</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0"/>
        <w:gridCol w:w="1366"/>
        <w:gridCol w:w="1879"/>
        <w:gridCol w:w="910"/>
        <w:gridCol w:w="1182"/>
        <w:gridCol w:w="1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0"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产品名称</w:t>
            </w:r>
          </w:p>
        </w:tc>
        <w:tc>
          <w:tcPr>
            <w:tcW w:w="1366"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规格</w:t>
            </w:r>
          </w:p>
        </w:tc>
        <w:tc>
          <w:tcPr>
            <w:tcW w:w="1879"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厂家</w:t>
            </w:r>
          </w:p>
        </w:tc>
        <w:tc>
          <w:tcPr>
            <w:tcW w:w="910"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hAnsi="Times New Roman" w:eastAsia="仿宋_GB2312" w:cs="Times New Roman"/>
                <w:kern w:val="2"/>
                <w:sz w:val="24"/>
                <w:szCs w:val="24"/>
                <w:highlight w:val="none"/>
                <w:lang w:val="en-US" w:eastAsia="zh-CN" w:bidi="ar-SA"/>
              </w:rPr>
              <w:t>单位</w:t>
            </w:r>
          </w:p>
        </w:tc>
        <w:tc>
          <w:tcPr>
            <w:tcW w:w="1182"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限</w:t>
            </w:r>
            <w:r>
              <w:rPr>
                <w:rFonts w:hint="eastAsia" w:ascii="仿宋_GB2312" w:hAnsi="Times New Roman" w:eastAsia="仿宋_GB2312" w:cs="Times New Roman"/>
                <w:kern w:val="2"/>
                <w:sz w:val="24"/>
                <w:szCs w:val="24"/>
                <w:highlight w:val="none"/>
                <w:lang w:val="en-US" w:eastAsia="zh-CN" w:bidi="ar-SA"/>
              </w:rPr>
              <w:t>价</w:t>
            </w:r>
            <w:r>
              <w:rPr>
                <w:rFonts w:hint="eastAsia" w:ascii="仿宋_GB2312" w:eastAsia="仿宋_GB2312" w:cs="Times New Roman"/>
                <w:kern w:val="2"/>
                <w:sz w:val="24"/>
                <w:szCs w:val="24"/>
                <w:highlight w:val="none"/>
                <w:lang w:val="en-US" w:eastAsia="zh-CN" w:bidi="ar-SA"/>
              </w:rPr>
              <w:t>（元）</w:t>
            </w:r>
          </w:p>
        </w:tc>
        <w:tc>
          <w:tcPr>
            <w:tcW w:w="1665" w:type="dxa"/>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供应商响应价格（元）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2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定制矿泉水</w:t>
            </w:r>
          </w:p>
        </w:tc>
        <w:tc>
          <w:tcPr>
            <w:tcW w:w="1366"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c>
          <w:tcPr>
            <w:tcW w:w="1879" w:type="dxa"/>
            <w:vMerge w:val="restart"/>
            <w:vAlign w:val="center"/>
          </w:tcPr>
          <w:p>
            <w:pPr>
              <w:pStyle w:val="3"/>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不指定品牌</w:t>
            </w:r>
          </w:p>
        </w:tc>
        <w:tc>
          <w:tcPr>
            <w:tcW w:w="91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瓶</w:t>
            </w:r>
          </w:p>
        </w:tc>
        <w:tc>
          <w:tcPr>
            <w:tcW w:w="1182"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2.00</w:t>
            </w:r>
          </w:p>
        </w:tc>
        <w:tc>
          <w:tcPr>
            <w:tcW w:w="1665"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2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定制纯净水</w:t>
            </w:r>
          </w:p>
        </w:tc>
        <w:tc>
          <w:tcPr>
            <w:tcW w:w="1366"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c>
          <w:tcPr>
            <w:tcW w:w="1879" w:type="dxa"/>
            <w:vMerge w:val="continue"/>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eastAsia="仿宋_GB2312" w:cs="Times New Roman"/>
                <w:kern w:val="2"/>
                <w:sz w:val="24"/>
                <w:szCs w:val="24"/>
                <w:highlight w:val="none"/>
                <w:lang w:val="en-US" w:eastAsia="zh-CN" w:bidi="ar-SA"/>
              </w:rPr>
            </w:pPr>
          </w:p>
        </w:tc>
        <w:tc>
          <w:tcPr>
            <w:tcW w:w="910"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瓶</w:t>
            </w:r>
          </w:p>
        </w:tc>
        <w:tc>
          <w:tcPr>
            <w:tcW w:w="1182"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仿宋_GB2312" w:hAnsi="Times New Roman" w:eastAsia="仿宋_GB2312" w:cs="Times New Roman"/>
                <w:kern w:val="2"/>
                <w:sz w:val="24"/>
                <w:szCs w:val="24"/>
                <w:highlight w:val="none"/>
                <w:lang w:val="en-US" w:eastAsia="zh-CN" w:bidi="ar-SA"/>
              </w:rPr>
            </w:pPr>
            <w:r>
              <w:rPr>
                <w:rFonts w:hint="eastAsia" w:ascii="仿宋_GB2312" w:eastAsia="仿宋_GB2312" w:cs="Times New Roman"/>
                <w:kern w:val="2"/>
                <w:sz w:val="24"/>
                <w:szCs w:val="24"/>
                <w:highlight w:val="none"/>
                <w:lang w:val="en-US" w:eastAsia="zh-CN" w:bidi="ar-SA"/>
              </w:rPr>
              <w:t>1.25</w:t>
            </w:r>
          </w:p>
        </w:tc>
        <w:tc>
          <w:tcPr>
            <w:tcW w:w="1665" w:type="dxa"/>
            <w:vAlign w:val="top"/>
          </w:tcPr>
          <w:p>
            <w:pPr>
              <w:pStyle w:val="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Times New Roman" w:eastAsia="仿宋_GB2312" w:cs="Times New Roman"/>
                <w:kern w:val="2"/>
                <w:sz w:val="24"/>
                <w:szCs w:val="24"/>
                <w:highlight w:val="none"/>
                <w:lang w:val="en-US" w:eastAsia="zh-CN" w:bidi="ar-SA"/>
              </w:rPr>
            </w:pPr>
          </w:p>
        </w:tc>
      </w:tr>
    </w:tbl>
    <w:p>
      <w:pPr>
        <w:pStyle w:val="3"/>
        <w:rPr>
          <w:rFonts w:hint="eastAsia" w:eastAsia="宋体"/>
          <w:lang w:val="en-US" w:eastAsia="zh-CN"/>
        </w:rPr>
      </w:pPr>
    </w:p>
    <w:p>
      <w:pPr>
        <w:keepLines w:val="0"/>
        <w:pageBreakBefore w:val="0"/>
        <w:widowControl/>
        <w:kinsoku/>
        <w:wordWrap/>
        <w:overflowPunct/>
        <w:topLinePunct w:val="0"/>
        <w:bidi w:val="0"/>
        <w:snapToGrid w:val="0"/>
        <w:spacing w:line="540" w:lineRule="exact"/>
        <w:ind w:firstLine="640" w:firstLineChars="200"/>
        <w:rPr>
          <w:rFonts w:hint="default" w:ascii="仿宋_GB2312" w:eastAsia="仿宋_GB2312"/>
          <w:sz w:val="32"/>
          <w:szCs w:val="28"/>
          <w:highlight w:val="none"/>
          <w:lang w:val="en-US" w:eastAsia="zh-CN"/>
        </w:rPr>
      </w:pPr>
      <w:r>
        <w:rPr>
          <w:rFonts w:hint="eastAsia" w:ascii="仿宋_GB2312" w:eastAsia="仿宋_GB2312"/>
          <w:sz w:val="32"/>
          <w:szCs w:val="28"/>
          <w:highlight w:val="none"/>
          <w:lang w:val="en-US" w:eastAsia="zh-CN"/>
        </w:rPr>
        <w:t>3.其他响应资料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jODRlYzU2MjQwMjI4NDkwMTJiMmE0ODk5YjFkZjYifQ=="/>
  </w:docVars>
  <w:rsids>
    <w:rsidRoot w:val="1A957E1A"/>
    <w:rsid w:val="0DEF56A1"/>
    <w:rsid w:val="0E9D6F5E"/>
    <w:rsid w:val="1A957E1A"/>
    <w:rsid w:val="208F53CA"/>
    <w:rsid w:val="213F6B13"/>
    <w:rsid w:val="2BE10A2D"/>
    <w:rsid w:val="2DCA117C"/>
    <w:rsid w:val="3496535A"/>
    <w:rsid w:val="352118CF"/>
    <w:rsid w:val="45DD62F7"/>
    <w:rsid w:val="47E11C4C"/>
    <w:rsid w:val="55B728A9"/>
    <w:rsid w:val="57B35221"/>
    <w:rsid w:val="5DD1160B"/>
    <w:rsid w:val="5DDF68C0"/>
    <w:rsid w:val="67C06CD7"/>
    <w:rsid w:val="67D04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line="520" w:lineRule="exact"/>
      <w:ind w:firstLine="200" w:firstLineChars="200"/>
    </w:pPr>
    <w:rPr>
      <w:rFonts w:eastAsia="宋体"/>
      <w:sz w:val="21"/>
      <w:szCs w:val="24"/>
    </w:rPr>
  </w:style>
  <w:style w:type="paragraph" w:styleId="3">
    <w:name w:val="Balloon Text"/>
    <w:basedOn w:val="1"/>
    <w:qFormat/>
    <w:uiPriority w:val="99"/>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2022-10-13T01:34:00Z</dcterms:created>
  <dc:creator>吃嘎嘎不长肉</dc:creator>
  <cp:lastModifiedBy>777</cp:lastModifiedBy>
  <dcterms:modified xsi:type="dcterms:W3CDTF">2025-04-24T08:26:38Z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4A144BF7627A4A049A957E2E5011C630_12</vt:lpwstr>
  </property>
</Properties>
</file>