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distribute"/>
        <w:rPr>
          <w:rFonts w:hint="eastAsia" w:ascii="方正黑体_GBK" w:hAnsi="宋体" w:eastAsia="方正黑体_GBK"/>
          <w:color w:val="auto"/>
          <w:spacing w:val="20"/>
          <w:sz w:val="112"/>
          <w:szCs w:val="112"/>
          <w:highlight w:val="none"/>
          <w:lang w:val="en-US" w:eastAsia="zh-CN"/>
        </w:rPr>
      </w:pPr>
      <w:bookmarkStart w:id="609" w:name="_GoBack"/>
      <w:bookmarkEnd w:id="609"/>
    </w:p>
    <w:p>
      <w:pPr>
        <w:jc w:val="distribute"/>
        <w:rPr>
          <w:rFonts w:ascii="方正黑体_GBK" w:hAnsi="宋体" w:eastAsia="方正黑体_GBK"/>
          <w:color w:val="auto"/>
          <w:spacing w:val="20"/>
          <w:sz w:val="112"/>
          <w:szCs w:val="112"/>
          <w:highlight w:val="none"/>
        </w:rPr>
      </w:pPr>
      <w:r>
        <w:rPr>
          <w:rFonts w:hint="eastAsia" w:ascii="方正黑体_GBK" w:hAnsi="宋体" w:eastAsia="方正黑体_GBK"/>
          <w:color w:val="auto"/>
          <w:spacing w:val="20"/>
          <w:sz w:val="112"/>
          <w:szCs w:val="112"/>
          <w:highlight w:val="none"/>
        </w:rPr>
        <w:t>竞争性磋商文件</w:t>
      </w: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286" w:leftChars="600" w:hanging="1606" w:hangingChars="500"/>
        <w:jc w:val="left"/>
        <w:textAlignment w:val="auto"/>
        <w:rPr>
          <w:rFonts w:hint="eastAsia" w:ascii="方正仿宋_GBK" w:hAnsi="宋体" w:eastAsia="仿宋" w:cs="Times New Roman"/>
          <w:b/>
          <w:color w:val="auto"/>
          <w:sz w:val="32"/>
          <w:szCs w:val="28"/>
          <w:highlight w:val="none"/>
          <w:lang w:val="en-US" w:eastAsia="zh-CN"/>
        </w:rPr>
      </w:pPr>
      <w:r>
        <w:rPr>
          <w:rFonts w:hint="default" w:ascii="方正仿宋_GBK" w:hAnsi="宋体" w:eastAsia="仿宋" w:cs="Times New Roman"/>
          <w:b/>
          <w:color w:val="auto"/>
          <w:sz w:val="32"/>
          <w:szCs w:val="28"/>
          <w:highlight w:val="none"/>
        </w:rPr>
        <w:t>项目</w:t>
      </w:r>
      <w:r>
        <w:rPr>
          <w:rFonts w:hint="default" w:ascii="方正仿宋_GBK" w:hAnsi="宋体" w:eastAsia="仿宋" w:cs="Times New Roman"/>
          <w:b/>
          <w:color w:val="auto"/>
          <w:sz w:val="32"/>
          <w:szCs w:val="28"/>
          <w:highlight w:val="none"/>
          <w:lang w:val="en-US" w:eastAsia="zh-CN"/>
        </w:rPr>
        <w:t>编</w:t>
      </w:r>
      <w:r>
        <w:rPr>
          <w:rFonts w:hint="default" w:ascii="方正仿宋_GBK" w:hAnsi="宋体" w:eastAsia="仿宋" w:cs="Times New Roman"/>
          <w:b/>
          <w:color w:val="auto"/>
          <w:sz w:val="32"/>
          <w:szCs w:val="28"/>
          <w:highlight w:val="none"/>
        </w:rPr>
        <w:t>号：</w:t>
      </w:r>
      <w:r>
        <w:rPr>
          <w:rFonts w:hint="eastAsia" w:ascii="方正仿宋_GBK" w:hAnsi="宋体" w:eastAsia="仿宋" w:cs="Times New Roman"/>
          <w:b/>
          <w:color w:val="auto"/>
          <w:sz w:val="32"/>
          <w:szCs w:val="28"/>
          <w:highlight w:val="none"/>
          <w:lang w:eastAsia="zh-CN"/>
        </w:rPr>
        <w:t>CQ7YC202500</w:t>
      </w:r>
      <w:r>
        <w:rPr>
          <w:rFonts w:hint="eastAsia" w:ascii="方正仿宋_GBK" w:hAnsi="宋体" w:eastAsia="仿宋" w:cs="Times New Roman"/>
          <w:b/>
          <w:color w:val="auto"/>
          <w:sz w:val="32"/>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left="3286" w:leftChars="600" w:hanging="1606" w:hangingChars="500"/>
        <w:jc w:val="left"/>
        <w:textAlignment w:val="auto"/>
        <w:rPr>
          <w:rFonts w:hint="default" w:ascii="Times New Roman" w:hAnsi="Times New Roman" w:eastAsia="方正小标宋_GBK" w:cs="Times New Roman"/>
          <w:sz w:val="36"/>
          <w:szCs w:val="36"/>
          <w:highlight w:val="none"/>
          <w:lang w:val="en-US" w:eastAsia="zh-CN"/>
        </w:rPr>
      </w:pPr>
      <w:r>
        <w:rPr>
          <w:rFonts w:hint="default" w:ascii="方正仿宋_GBK" w:hAnsi="宋体" w:eastAsia="仿宋" w:cs="Times New Roman"/>
          <w:b/>
          <w:color w:val="auto"/>
          <w:sz w:val="32"/>
          <w:szCs w:val="28"/>
          <w:highlight w:val="none"/>
        </w:rPr>
        <w:t>项目名称：</w:t>
      </w:r>
      <w:r>
        <w:rPr>
          <w:rFonts w:hint="eastAsia" w:ascii="方正仿宋_GBK" w:hAnsi="宋体" w:eastAsia="仿宋" w:cs="Times New Roman"/>
          <w:b/>
          <w:color w:val="auto"/>
          <w:sz w:val="36"/>
          <w:szCs w:val="30"/>
          <w:highlight w:val="none"/>
          <w:lang w:val="en-US" w:eastAsia="zh-CN"/>
        </w:rPr>
        <w:t>PACS存储升级（第二次）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3286" w:leftChars="600" w:hanging="1606" w:hangingChars="500"/>
        <w:jc w:val="left"/>
        <w:textAlignment w:val="auto"/>
        <w:rPr>
          <w:rFonts w:hint="default" w:ascii="方正仿宋_GBK" w:hAnsi="宋体" w:eastAsia="仿宋" w:cs="Times New Roman"/>
          <w:b/>
          <w:color w:val="auto"/>
          <w:sz w:val="32"/>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286" w:leftChars="600" w:hanging="1606" w:hangingChars="500"/>
        <w:jc w:val="left"/>
        <w:textAlignment w:val="auto"/>
        <w:rPr>
          <w:rFonts w:hint="eastAsia" w:ascii="方正仿宋_GBK" w:hAnsi="宋体" w:eastAsia="仿宋" w:cs="Times New Roman"/>
          <w:b/>
          <w:color w:val="auto"/>
          <w:sz w:val="32"/>
          <w:szCs w:val="28"/>
          <w:highlight w:val="none"/>
          <w:lang w:val="en-US" w:eastAsia="zh-CN"/>
        </w:rPr>
      </w:pPr>
      <w:r>
        <w:rPr>
          <w:rFonts w:hint="default" w:ascii="方正仿宋_GBK" w:hAnsi="宋体" w:eastAsia="仿宋" w:cs="Times New Roman"/>
          <w:b/>
          <w:color w:val="auto"/>
          <w:sz w:val="32"/>
          <w:szCs w:val="28"/>
          <w:highlight w:val="none"/>
        </w:rPr>
        <w:t>采购人：</w:t>
      </w:r>
      <w:r>
        <w:rPr>
          <w:rFonts w:hint="eastAsia" w:ascii="方正仿宋_GBK" w:hAnsi="宋体" w:eastAsia="仿宋" w:cs="Times New Roman"/>
          <w:b/>
          <w:color w:val="auto"/>
          <w:sz w:val="32"/>
          <w:szCs w:val="28"/>
          <w:highlight w:val="none"/>
          <w:lang w:val="en-US" w:eastAsia="zh-CN"/>
        </w:rPr>
        <w:t>重庆市第七人民医院</w:t>
      </w: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default" w:ascii="方正仿宋_GBK" w:hAnsi="宋体" w:eastAsia="仿宋" w:cs="Times New Roman"/>
          <w:b/>
          <w:color w:val="auto"/>
          <w:sz w:val="36"/>
          <w:szCs w:val="30"/>
          <w:highlight w:val="none"/>
          <w:lang/>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default" w:ascii="方正仿宋_GBK" w:hAnsi="宋体" w:eastAsia="仿宋" w:cs="Times New Roman"/>
          <w:b/>
          <w:color w:val="auto"/>
          <w:sz w:val="36"/>
          <w:szCs w:val="30"/>
          <w:highlight w:val="none"/>
        </w:rPr>
        <w:t>二〇二</w:t>
      </w:r>
      <w:r>
        <w:rPr>
          <w:rFonts w:hint="eastAsia" w:ascii="方正仿宋_GBK" w:hAnsi="宋体" w:eastAsia="仿宋" w:cs="Times New Roman"/>
          <w:b/>
          <w:color w:val="auto"/>
          <w:sz w:val="36"/>
          <w:szCs w:val="30"/>
          <w:highlight w:val="none"/>
          <w:lang w:val="en-US" w:eastAsia="zh-CN"/>
        </w:rPr>
        <w:t>五</w:t>
      </w:r>
      <w:r>
        <w:rPr>
          <w:rFonts w:hint="default" w:ascii="方正仿宋_GBK" w:hAnsi="宋体" w:eastAsia="仿宋" w:cs="Times New Roman"/>
          <w:b/>
          <w:color w:val="auto"/>
          <w:sz w:val="36"/>
          <w:szCs w:val="30"/>
          <w:highlight w:val="none"/>
        </w:rPr>
        <w:t>年</w:t>
      </w:r>
      <w:r>
        <w:rPr>
          <w:rFonts w:hint="eastAsia" w:ascii="方正仿宋_GBK" w:hAnsi="宋体" w:eastAsia="仿宋" w:cs="Times New Roman"/>
          <w:b/>
          <w:color w:val="auto"/>
          <w:sz w:val="36"/>
          <w:szCs w:val="30"/>
          <w:highlight w:val="none"/>
          <w:lang w:val="en-US" w:eastAsia="zh-CN"/>
        </w:rPr>
        <w:t>六</w:t>
      </w:r>
      <w:r>
        <w:rPr>
          <w:rFonts w:hint="default" w:ascii="方正仿宋_GBK" w:hAnsi="宋体" w:eastAsia="仿宋" w:cs="Times New Roman"/>
          <w:b/>
          <w:color w:val="auto"/>
          <w:sz w:val="36"/>
          <w:szCs w:val="30"/>
          <w:highlight w:val="none"/>
        </w:rPr>
        <w:t>月</w:t>
      </w:r>
    </w:p>
    <w:p>
      <w:pPr>
        <w:pStyle w:val="4"/>
        <w:spacing w:before="0" w:after="0" w:line="360" w:lineRule="auto"/>
        <w:jc w:val="center"/>
        <w:rPr>
          <w:rFonts w:hint="default" w:ascii="Times New Roman" w:hAnsi="Times New Roman" w:eastAsia="方正小标宋_GBK" w:cs="Times New Roman"/>
          <w:b w:val="0"/>
          <w:sz w:val="36"/>
          <w:szCs w:val="30"/>
        </w:rPr>
      </w:pPr>
      <w:bookmarkStart w:id="0" w:name="_Toc16103"/>
      <w:bookmarkStart w:id="1" w:name="_Toc1002"/>
      <w:bookmarkStart w:id="2" w:name="_Toc12326"/>
      <w:bookmarkStart w:id="3" w:name="_Toc27483"/>
      <w:bookmarkStart w:id="4" w:name="_Toc15726"/>
      <w:bookmarkStart w:id="5" w:name="_Toc9646"/>
      <w:bookmarkStart w:id="6" w:name="_Toc17935"/>
      <w:bookmarkStart w:id="7" w:name="_Toc4604"/>
      <w:bookmarkStart w:id="8" w:name="_Toc24817"/>
      <w:bookmarkStart w:id="9" w:name="_Toc16408"/>
      <w:bookmarkStart w:id="10" w:name="_Toc65660329"/>
      <w:bookmarkStart w:id="11" w:name="_Toc24173"/>
      <w:bookmarkStart w:id="12" w:name="_Toc5826"/>
      <w:bookmarkStart w:id="13" w:name="_Toc31485"/>
      <w:bookmarkStart w:id="14" w:name="_Toc28617"/>
      <w:bookmarkStart w:id="15" w:name="_Toc12789052"/>
      <w:bookmarkStart w:id="16" w:name="_Toc2007"/>
      <w:bookmarkStart w:id="17" w:name="_Toc12597"/>
      <w:bookmarkStart w:id="18" w:name="_Toc17840"/>
      <w:bookmarkStart w:id="19" w:name="_Toc106034769"/>
      <w:bookmarkStart w:id="20" w:name="_Toc11641050"/>
      <w:r>
        <w:rPr>
          <w:rFonts w:hint="default" w:ascii="Times New Roman" w:hAnsi="Times New Roman" w:eastAsia="方正小标宋_GBK" w:cs="Times New Roman"/>
          <w:b w:val="0"/>
          <w:sz w:val="36"/>
          <w:szCs w:val="30"/>
        </w:rPr>
        <w:t xml:space="preserve">第一篇  </w:t>
      </w:r>
      <w:r>
        <w:rPr>
          <w:rFonts w:hint="eastAsia" w:ascii="Times New Roman" w:hAnsi="Times New Roman" w:eastAsia="方正小标宋_GBK" w:cs="Times New Roman"/>
          <w:b w:val="0"/>
          <w:sz w:val="36"/>
          <w:lang w:eastAsia="zh-CN"/>
        </w:rPr>
        <w:t>磋商</w:t>
      </w:r>
      <w:r>
        <w:rPr>
          <w:rFonts w:hint="default" w:ascii="Times New Roman" w:hAnsi="Times New Roman" w:eastAsia="方正小标宋_GBK" w:cs="Times New Roman"/>
          <w:b w:val="0"/>
          <w:sz w:val="36"/>
        </w:rPr>
        <w:t>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napToGrid w:val="0"/>
        <w:spacing w:beforeLines="0" w:afterLines="0" w:line="400" w:lineRule="exact"/>
        <w:ind w:firstLine="480" w:firstLineChars="20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highlight w:val="none"/>
          <w:lang w:eastAsia="zh-CN"/>
        </w:rPr>
        <w:t>重庆市第七人民医院</w:t>
      </w:r>
      <w:r>
        <w:rPr>
          <w:rFonts w:hint="default" w:ascii="Times New Roman" w:hAnsi="Times New Roman" w:eastAsia="方正仿宋_GBK" w:cs="Times New Roman"/>
          <w:b w:val="0"/>
          <w:bCs w:val="0"/>
          <w:sz w:val="24"/>
          <w:szCs w:val="24"/>
          <w:highlight w:val="none"/>
        </w:rPr>
        <w:t>对</w:t>
      </w:r>
      <w:r>
        <w:rPr>
          <w:rFonts w:hint="eastAsia" w:ascii="Times New Roman" w:hAnsi="Times New Roman" w:eastAsia="方正仿宋_GBK" w:cs="Times New Roman"/>
          <w:b w:val="0"/>
          <w:bCs w:val="0"/>
          <w:sz w:val="24"/>
          <w:szCs w:val="24"/>
          <w:highlight w:val="yellow"/>
          <w:lang w:val="en-US" w:eastAsia="zh-CN"/>
        </w:rPr>
        <w:t>PACS存储升级（第二次）</w:t>
      </w:r>
      <w:r>
        <w:rPr>
          <w:rFonts w:hint="default" w:ascii="Times New Roman" w:hAnsi="Times New Roman" w:eastAsia="方正仿宋_GBK" w:cs="Times New Roman"/>
          <w:sz w:val="24"/>
          <w:szCs w:val="24"/>
          <w:highlight w:val="none"/>
          <w:lang w:val="en-US" w:eastAsia="zh-CN"/>
        </w:rPr>
        <w:t>进行</w:t>
      </w:r>
      <w:r>
        <w:rPr>
          <w:rFonts w:hint="eastAsia" w:ascii="Times New Roman" w:hAnsi="Times New Roman" w:eastAsia="方正仿宋_GBK" w:cs="Times New Roman"/>
          <w:sz w:val="24"/>
          <w:szCs w:val="24"/>
          <w:highlight w:val="none"/>
          <w:lang w:eastAsia="zh-CN"/>
        </w:rPr>
        <w:t>磋商</w:t>
      </w:r>
      <w:r>
        <w:rPr>
          <w:rFonts w:hint="default" w:ascii="Times New Roman" w:hAnsi="Times New Roman" w:eastAsia="方正仿宋_GBK" w:cs="Times New Roman"/>
          <w:sz w:val="24"/>
          <w:szCs w:val="24"/>
          <w:highlight w:val="none"/>
        </w:rPr>
        <w:t>采购，</w:t>
      </w:r>
      <w:r>
        <w:rPr>
          <w:rFonts w:hint="default" w:ascii="Times New Roman" w:hAnsi="Times New Roman" w:eastAsia="方正仿宋_GBK" w:cs="Times New Roman"/>
          <w:sz w:val="24"/>
          <w:szCs w:val="24"/>
        </w:rPr>
        <w:t>欢迎有资格的供应商前来参加报价。</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szCs w:val="24"/>
        </w:rPr>
      </w:pPr>
      <w:bookmarkStart w:id="21" w:name="_Toc65660330"/>
      <w:bookmarkStart w:id="22" w:name="_Toc32495"/>
      <w:bookmarkStart w:id="23" w:name="_Toc4953"/>
      <w:bookmarkStart w:id="24" w:name="_Toc5847"/>
      <w:bookmarkStart w:id="25" w:name="_Toc106034770"/>
      <w:bookmarkStart w:id="26" w:name="_Toc27734"/>
      <w:bookmarkStart w:id="27" w:name="_Toc317775175"/>
      <w:bookmarkStart w:id="28" w:name="_Toc8947"/>
      <w:bookmarkStart w:id="29" w:name="_Toc22100"/>
      <w:bookmarkStart w:id="30" w:name="_Toc9071"/>
      <w:bookmarkStart w:id="31" w:name="_Toc26091"/>
      <w:bookmarkStart w:id="32" w:name="_Toc7758"/>
      <w:bookmarkStart w:id="33" w:name="_Toc18749"/>
      <w:bookmarkStart w:id="34" w:name="_Toc10489"/>
      <w:bookmarkStart w:id="35" w:name="_Toc22176"/>
      <w:bookmarkStart w:id="36" w:name="_Toc23696"/>
      <w:bookmarkStart w:id="37" w:name="_Toc22294"/>
      <w:bookmarkStart w:id="38" w:name="_Toc9051"/>
      <w:bookmarkStart w:id="39" w:name="_Toc18246"/>
      <w:bookmarkStart w:id="40" w:name="_Toc31454"/>
      <w:bookmarkStart w:id="41" w:name="_Toc313893526"/>
      <w:r>
        <w:rPr>
          <w:rFonts w:hint="default" w:ascii="Times New Roman" w:hAnsi="Times New Roman" w:eastAsia="方正仿宋_GBK" w:cs="Times New Roman"/>
          <w:sz w:val="24"/>
          <w:szCs w:val="24"/>
        </w:rPr>
        <w:t>一、</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59"/>
        <w:tblW w:w="4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2"/>
        <w:gridCol w:w="1398"/>
        <w:gridCol w:w="154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99" w:hRule="atLeast"/>
          <w:jc w:val="center"/>
        </w:trPr>
        <w:tc>
          <w:tcPr>
            <w:tcW w:w="4142" w:type="dxa"/>
            <w:noWrap w:val="0"/>
            <w:vAlign w:val="center"/>
          </w:tcPr>
          <w:p>
            <w:pPr>
              <w:widowControl/>
              <w:spacing w:beforeLines="0" w:afterLines="0" w:line="0" w:lineRule="atLeast"/>
              <w:jc w:val="center"/>
              <w:rPr>
                <w:rFonts w:hint="default" w:ascii="Times New Roman" w:hAnsi="Times New Roman" w:eastAsia="仿宋" w:cs="Times New Roman"/>
                <w:b/>
                <w:color w:val="auto"/>
                <w:sz w:val="24"/>
                <w:szCs w:val="24"/>
                <w:highlight w:val="none"/>
              </w:rPr>
            </w:pPr>
            <w:bookmarkStart w:id="42" w:name="_Toc4424"/>
            <w:bookmarkStart w:id="43" w:name="_Toc27028"/>
            <w:bookmarkStart w:id="44" w:name="_Toc3256"/>
            <w:bookmarkStart w:id="45" w:name="_Toc106034771"/>
            <w:bookmarkStart w:id="46" w:name="_Toc65660331"/>
            <w:bookmarkStart w:id="47" w:name="_Toc373860293"/>
            <w:bookmarkStart w:id="48" w:name="_Toc317775178"/>
            <w:r>
              <w:rPr>
                <w:rFonts w:hint="default" w:ascii="Times New Roman" w:hAnsi="Times New Roman" w:eastAsia="仿宋" w:cs="Times New Roman"/>
                <w:b/>
                <w:bCs/>
                <w:color w:val="auto"/>
                <w:kern w:val="0"/>
                <w:sz w:val="24"/>
                <w:szCs w:val="24"/>
              </w:rPr>
              <w:t>项目名称</w:t>
            </w:r>
          </w:p>
        </w:tc>
        <w:tc>
          <w:tcPr>
            <w:tcW w:w="1398" w:type="dxa"/>
            <w:noWrap w:val="0"/>
            <w:vAlign w:val="center"/>
          </w:tcPr>
          <w:p>
            <w:pPr>
              <w:widowControl/>
              <w:spacing w:beforeLines="0" w:afterLines="0" w:line="0" w:lineRule="atLeast"/>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最高限价</w:t>
            </w:r>
          </w:p>
          <w:p>
            <w:pPr>
              <w:spacing w:beforeLines="0" w:afterLines="0" w:line="0" w:lineRule="atLeast"/>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bCs/>
                <w:color w:val="auto"/>
                <w:kern w:val="0"/>
                <w:sz w:val="24"/>
                <w:szCs w:val="24"/>
              </w:rPr>
              <w:t>（万元）</w:t>
            </w:r>
          </w:p>
        </w:tc>
        <w:tc>
          <w:tcPr>
            <w:tcW w:w="1540" w:type="dxa"/>
            <w:noWrap w:val="0"/>
            <w:vAlign w:val="center"/>
          </w:tcPr>
          <w:p>
            <w:pPr>
              <w:spacing w:beforeLines="0" w:afterLines="0" w:line="0" w:lineRule="atLeast"/>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bCs/>
                <w:color w:val="auto"/>
                <w:kern w:val="0"/>
                <w:sz w:val="24"/>
                <w:szCs w:val="24"/>
              </w:rPr>
              <w:t>成交供应商数量（名）</w:t>
            </w:r>
          </w:p>
        </w:tc>
        <w:tc>
          <w:tcPr>
            <w:tcW w:w="1241" w:type="dxa"/>
            <w:noWrap w:val="0"/>
            <w:vAlign w:val="center"/>
          </w:tcPr>
          <w:p>
            <w:pPr>
              <w:spacing w:beforeLines="0" w:afterLines="0" w:line="0" w:lineRule="atLeast"/>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18" w:hRule="atLeast"/>
          <w:jc w:val="center"/>
        </w:trPr>
        <w:tc>
          <w:tcPr>
            <w:tcW w:w="4142" w:type="dxa"/>
            <w:noWrap w:val="0"/>
            <w:vAlign w:val="center"/>
          </w:tcPr>
          <w:p>
            <w:pPr>
              <w:adjustRightInd w:val="0"/>
              <w:snapToGrid w:val="0"/>
              <w:spacing w:beforeLines="0" w:afterLines="0" w:line="0" w:lineRule="atLeast"/>
              <w:ind w:firstLine="0" w:firstLineChars="0"/>
              <w:jc w:val="center"/>
              <w:rPr>
                <w:rFonts w:hint="default" w:ascii="Times New Roman" w:hAnsi="Times New Roman" w:eastAsia="方正仿宋_GBK" w:cs="Times New Roman"/>
                <w:b w:val="0"/>
                <w:bCs w:val="0"/>
                <w:sz w:val="24"/>
                <w:szCs w:val="24"/>
                <w:highlight w:val="none"/>
                <w:lang w:val="en-US" w:eastAsia="zh-CN"/>
              </w:rPr>
            </w:pPr>
            <w:r>
              <w:rPr>
                <w:rFonts w:hint="eastAsia" w:ascii="Times New Roman" w:hAnsi="Times New Roman" w:eastAsia="方正仿宋_GBK" w:cs="Times New Roman"/>
                <w:b w:val="0"/>
                <w:bCs w:val="0"/>
                <w:sz w:val="24"/>
                <w:szCs w:val="24"/>
                <w:highlight w:val="none"/>
                <w:lang w:val="en-US" w:eastAsia="zh-CN"/>
              </w:rPr>
              <w:t>PACS存储升级（第二次）</w:t>
            </w:r>
          </w:p>
        </w:tc>
        <w:tc>
          <w:tcPr>
            <w:tcW w:w="1398" w:type="dxa"/>
            <w:noWrap w:val="0"/>
            <w:vAlign w:val="center"/>
          </w:tcPr>
          <w:p>
            <w:pPr>
              <w:spacing w:beforeLines="0" w:afterLines="0" w:line="0" w:lineRule="atLeast"/>
              <w:ind w:firstLine="0" w:firstLineChars="0"/>
              <w:jc w:val="center"/>
              <w:rPr>
                <w:rFonts w:hint="default"/>
                <w:b w:val="0"/>
                <w:bCs w:val="0"/>
                <w:sz w:val="24"/>
                <w:szCs w:val="24"/>
                <w:lang w:val="en-US" w:eastAsia="zh-CN"/>
              </w:rPr>
            </w:pPr>
            <w:r>
              <w:rPr>
                <w:rFonts w:hint="eastAsia"/>
                <w:b w:val="0"/>
                <w:bCs w:val="0"/>
                <w:sz w:val="24"/>
                <w:szCs w:val="24"/>
                <w:lang w:val="en-US" w:eastAsia="zh-CN"/>
              </w:rPr>
              <w:t>48.30</w:t>
            </w:r>
          </w:p>
        </w:tc>
        <w:tc>
          <w:tcPr>
            <w:tcW w:w="1540" w:type="dxa"/>
            <w:noWrap w:val="0"/>
            <w:vAlign w:val="center"/>
          </w:tcPr>
          <w:p>
            <w:pPr>
              <w:spacing w:beforeLines="0" w:afterLines="0" w:line="0" w:lineRule="atLeast"/>
              <w:ind w:firstLine="0" w:firstLineChars="0"/>
              <w:jc w:val="center"/>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sz w:val="24"/>
                <w:szCs w:val="24"/>
                <w:highlight w:val="none"/>
              </w:rPr>
              <w:t>1</w:t>
            </w:r>
          </w:p>
        </w:tc>
        <w:tc>
          <w:tcPr>
            <w:tcW w:w="1241" w:type="dxa"/>
            <w:noWrap w:val="0"/>
            <w:vAlign w:val="center"/>
          </w:tcPr>
          <w:p>
            <w:pPr>
              <w:spacing w:beforeLines="0" w:afterLines="0" w:line="0" w:lineRule="atLeast"/>
              <w:ind w:firstLine="0" w:firstLineChars="0"/>
              <w:jc w:val="center"/>
              <w:rPr>
                <w:rFonts w:hint="default" w:ascii="Times New Roman" w:hAnsi="Times New Roman" w:eastAsia="仿宋" w:cs="Times New Roman"/>
                <w:b w:val="0"/>
                <w:bCs w:val="0"/>
                <w:color w:val="auto"/>
                <w:sz w:val="24"/>
                <w:szCs w:val="24"/>
                <w:highlight w:val="none"/>
              </w:rPr>
            </w:pPr>
          </w:p>
        </w:tc>
      </w:tr>
    </w:tbl>
    <w:p>
      <w:pPr>
        <w:pStyle w:val="4"/>
        <w:adjustRightInd w:val="0"/>
        <w:snapToGrid w:val="0"/>
        <w:spacing w:before="0" w:after="0" w:line="400" w:lineRule="exact"/>
        <w:ind w:firstLine="482" w:firstLineChars="200"/>
        <w:rPr>
          <w:rFonts w:hint="default" w:ascii="Times New Roman" w:hAnsi="Times New Roman" w:eastAsia="方正仿宋_GBK" w:cs="Times New Roman"/>
          <w:sz w:val="24"/>
          <w:szCs w:val="24"/>
          <w:highlight w:val="none"/>
        </w:rPr>
      </w:pPr>
      <w:bookmarkStart w:id="49" w:name="_Toc6096"/>
      <w:bookmarkStart w:id="50" w:name="_Toc1854"/>
      <w:bookmarkStart w:id="51" w:name="_Toc28811"/>
      <w:bookmarkStart w:id="52" w:name="_Toc711"/>
      <w:bookmarkStart w:id="53" w:name="_Toc25330"/>
      <w:bookmarkStart w:id="54" w:name="_Toc24098"/>
      <w:bookmarkStart w:id="55" w:name="_Toc13672"/>
      <w:bookmarkStart w:id="56" w:name="_Toc9244"/>
      <w:bookmarkStart w:id="57" w:name="_Toc32318"/>
      <w:bookmarkStart w:id="58" w:name="_Toc21946"/>
      <w:bookmarkStart w:id="59" w:name="_Toc12234"/>
      <w:bookmarkStart w:id="60" w:name="_Toc7528"/>
      <w:bookmarkStart w:id="61" w:name="_Toc5393"/>
      <w:bookmarkStart w:id="62" w:name="_Toc20404"/>
      <w:r>
        <w:rPr>
          <w:rFonts w:hint="default" w:ascii="Times New Roman" w:hAnsi="Times New Roman" w:eastAsia="方正仿宋_GBK" w:cs="Times New Roman"/>
          <w:sz w:val="24"/>
          <w:szCs w:val="24"/>
        </w:rPr>
        <w:t>二、资金来源</w:t>
      </w:r>
      <w:bookmarkEnd w:id="42"/>
      <w:bookmarkEnd w:id="43"/>
      <w:bookmarkEnd w:id="44"/>
      <w:bookmarkEnd w:id="45"/>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p>
    <w:p>
      <w:pPr>
        <w:spacing w:beforeLines="0" w:afterLines="0" w:line="4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单位自筹资金，采购预算</w:t>
      </w:r>
      <w:r>
        <w:rPr>
          <w:rFonts w:hint="eastAsia" w:ascii="Times New Roman" w:hAnsi="Times New Roman" w:eastAsia="方正仿宋_GBK" w:cs="Times New Roman"/>
          <w:sz w:val="24"/>
          <w:szCs w:val="24"/>
          <w:highlight w:val="none"/>
          <w:lang w:val="en-US" w:eastAsia="zh-CN"/>
        </w:rPr>
        <w:t>48.30</w:t>
      </w:r>
      <w:r>
        <w:rPr>
          <w:rFonts w:hint="default" w:ascii="Times New Roman" w:hAnsi="Times New Roman" w:eastAsia="方正仿宋_GBK" w:cs="Times New Roman"/>
          <w:sz w:val="24"/>
          <w:szCs w:val="24"/>
          <w:highlight w:val="none"/>
        </w:rPr>
        <w:t>万元。</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szCs w:val="24"/>
        </w:rPr>
      </w:pPr>
      <w:bookmarkStart w:id="63" w:name="_Toc16396"/>
      <w:bookmarkStart w:id="64" w:name="_Toc31719"/>
      <w:bookmarkStart w:id="65" w:name="_Toc6859"/>
      <w:bookmarkStart w:id="66" w:name="_Toc20867"/>
      <w:bookmarkStart w:id="67" w:name="_Toc16708"/>
      <w:bookmarkStart w:id="68" w:name="_Toc5079"/>
      <w:bookmarkStart w:id="69" w:name="_Toc65660332"/>
      <w:bookmarkStart w:id="70" w:name="_Toc13541"/>
      <w:bookmarkStart w:id="71" w:name="_Toc14512"/>
      <w:bookmarkStart w:id="72" w:name="_Toc31723"/>
      <w:bookmarkStart w:id="73" w:name="_Toc2822"/>
      <w:bookmarkStart w:id="74" w:name="_Toc15"/>
      <w:bookmarkStart w:id="75" w:name="_Toc18548"/>
      <w:bookmarkStart w:id="76" w:name="_Toc23758"/>
      <w:bookmarkStart w:id="77" w:name="_Toc106034772"/>
      <w:bookmarkStart w:id="78" w:name="_Toc21414"/>
      <w:bookmarkStart w:id="79" w:name="_Toc945"/>
      <w:bookmarkStart w:id="80" w:name="_Toc64731996"/>
      <w:bookmarkStart w:id="81" w:name="_Toc28247"/>
      <w:bookmarkStart w:id="82" w:name="_Toc9623"/>
      <w:r>
        <w:rPr>
          <w:rFonts w:hint="default" w:ascii="Times New Roman" w:hAnsi="Times New Roman" w:eastAsia="方正仿宋_GBK" w:cs="Times New Roman"/>
          <w:sz w:val="24"/>
          <w:szCs w:val="24"/>
        </w:rPr>
        <w:t>三、供应商资格条件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合格的供应商应首先符合政府采购法第二十二条规定的基本资格条件，同时符合根据该项目特殊要求设置的特定资格条件。</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（一）基本资格条件</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1.具有独立承担民事责任的能力；</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2.具有良好的商业信誉和健全的财务会计制度；</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3.具有履行合同所必需的设备和专业技术能力；</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4.有依法缴纳税收和社会保障资金的良好记录；</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5.参加政府采购活动前三年内，在经营活动中没有重大违法记录；</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6.法律、行政法规规定的其他条件。</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二</w:t>
      </w:r>
      <w:r>
        <w:rPr>
          <w:rFonts w:hint="default" w:ascii="Times New Roman" w:hAnsi="Times New Roman" w:eastAsia="仿宋" w:cs="Times New Roman"/>
          <w:color w:val="auto"/>
          <w:sz w:val="24"/>
          <w:szCs w:val="24"/>
          <w:lang w:eastAsia="zh-CN"/>
        </w:rPr>
        <w:t>）</w:t>
      </w:r>
      <w:r>
        <w:rPr>
          <w:rFonts w:hint="default" w:ascii="Times New Roman" w:hAnsi="Times New Roman" w:eastAsia="方正仿宋_GBK" w:cs="Times New Roman"/>
          <w:sz w:val="24"/>
          <w:szCs w:val="24"/>
        </w:rPr>
        <w:t>本项目的特定资格要求</w:t>
      </w:r>
      <w:bookmarkStart w:id="83" w:name="_Toc5852"/>
      <w:bookmarkStart w:id="84" w:name="_Toc20295"/>
      <w:bookmarkStart w:id="85" w:name="_Toc20168"/>
      <w:bookmarkStart w:id="86" w:name="_Toc13903"/>
      <w:bookmarkStart w:id="87" w:name="_Toc22122"/>
      <w:bookmarkStart w:id="88" w:name="_Toc22675"/>
      <w:bookmarkStart w:id="89" w:name="_Toc1906"/>
      <w:bookmarkStart w:id="90" w:name="_Toc106034773"/>
      <w:bookmarkStart w:id="91" w:name="_Toc15390"/>
      <w:bookmarkStart w:id="92" w:name="_Toc17224"/>
      <w:bookmarkStart w:id="93" w:name="_Toc1483"/>
      <w:bookmarkStart w:id="94" w:name="_Toc26779"/>
      <w:bookmarkStart w:id="95" w:name="_Toc4213"/>
      <w:bookmarkStart w:id="96" w:name="_Toc18898"/>
      <w:bookmarkStart w:id="97" w:name="_Toc1386"/>
      <w:bookmarkStart w:id="98" w:name="_Toc65660333"/>
      <w:bookmarkStart w:id="99" w:name="_Toc11908"/>
      <w:bookmarkStart w:id="100" w:name="_Toc15906"/>
    </w:p>
    <w:p>
      <w:pPr>
        <w:spacing w:beforeLines="0" w:afterLines="0" w:line="400" w:lineRule="exact"/>
        <w:ind w:firstLine="480" w:firstLineChars="200"/>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无。</w:t>
      </w:r>
    </w:p>
    <w:p>
      <w:pPr>
        <w:spacing w:beforeLines="0" w:afterLines="0" w:line="400" w:lineRule="exact"/>
        <w:ind w:firstLine="482" w:firstLineChars="200"/>
        <w:rPr>
          <w:rFonts w:hint="default" w:ascii="Times New Roman" w:hAnsi="Times New Roman" w:eastAsia="仿宋" w:cs="Times New Roman"/>
          <w:b/>
          <w:bCs/>
          <w:color w:val="auto"/>
          <w:sz w:val="24"/>
          <w:szCs w:val="24"/>
        </w:rPr>
      </w:pPr>
      <w:bookmarkStart w:id="101" w:name="_Toc23610"/>
      <w:r>
        <w:rPr>
          <w:rFonts w:hint="default" w:ascii="Times New Roman" w:hAnsi="Times New Roman" w:eastAsia="仿宋" w:cs="Times New Roman"/>
          <w:b/>
          <w:bCs/>
          <w:color w:val="auto"/>
          <w:sz w:val="24"/>
          <w:szCs w:val="24"/>
        </w:rPr>
        <w:t>四、</w:t>
      </w:r>
      <w:r>
        <w:rPr>
          <w:rFonts w:hint="eastAsia" w:ascii="Times New Roman" w:hAnsi="Times New Roman" w:eastAsia="仿宋" w:cs="Times New Roman"/>
          <w:b/>
          <w:bCs/>
          <w:color w:val="auto"/>
          <w:sz w:val="24"/>
          <w:szCs w:val="24"/>
          <w:lang w:eastAsia="zh-CN"/>
        </w:rPr>
        <w:t>磋商</w:t>
      </w:r>
      <w:r>
        <w:rPr>
          <w:rFonts w:hint="default" w:ascii="Times New Roman" w:hAnsi="Times New Roman" w:eastAsia="仿宋" w:cs="Times New Roman"/>
          <w:b/>
          <w:bCs/>
          <w:color w:val="auto"/>
          <w:sz w:val="24"/>
          <w:szCs w:val="24"/>
        </w:rPr>
        <w:t>有关说明</w:t>
      </w:r>
      <w:bookmarkEnd w:id="4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bookmarkEnd w:id="48"/>
    <w:p>
      <w:pPr>
        <w:spacing w:beforeLines="0" w:afterLines="0" w:line="400" w:lineRule="exact"/>
        <w:ind w:firstLine="480" w:firstLineChars="200"/>
        <w:rPr>
          <w:rFonts w:hint="default" w:ascii="Times New Roman" w:hAnsi="Times New Roman" w:eastAsia="仿宋" w:cs="Times New Roman"/>
          <w:color w:val="auto"/>
          <w:sz w:val="24"/>
          <w:szCs w:val="24"/>
        </w:rPr>
      </w:pPr>
      <w:bookmarkStart w:id="102" w:name="_Toc12296"/>
      <w:bookmarkStart w:id="103" w:name="_Toc521053054"/>
      <w:bookmarkStart w:id="104" w:name="_Toc2797"/>
      <w:bookmarkStart w:id="105" w:name="_Toc479668114"/>
      <w:bookmarkStart w:id="106" w:name="_Toc14096"/>
      <w:bookmarkStart w:id="107" w:name="_Toc7807"/>
      <w:bookmarkStart w:id="108" w:name="_Toc15835"/>
      <w:bookmarkStart w:id="109" w:name="_Toc106034775"/>
      <w:bookmarkStart w:id="110" w:name="_Toc21329"/>
      <w:bookmarkStart w:id="111" w:name="_Toc2945"/>
      <w:bookmarkStart w:id="112" w:name="_Toc15970"/>
      <w:bookmarkStart w:id="113" w:name="_Toc26208"/>
      <w:bookmarkStart w:id="114" w:name="_Toc30838"/>
      <w:bookmarkStart w:id="115" w:name="_Toc24522"/>
      <w:bookmarkStart w:id="116" w:name="_Toc1452"/>
      <w:bookmarkStart w:id="117" w:name="_Toc65660335"/>
      <w:bookmarkStart w:id="118" w:name="_Toc21166"/>
      <w:bookmarkStart w:id="119" w:name="_Toc28590"/>
      <w:bookmarkStart w:id="120" w:name="_Toc4355"/>
      <w:bookmarkStart w:id="121" w:name="_Toc525047162"/>
      <w:bookmarkStart w:id="122" w:name="_Toc12115"/>
      <w:bookmarkStart w:id="123" w:name="_Toc9837"/>
      <w:r>
        <w:rPr>
          <w:rFonts w:hint="default" w:ascii="Times New Roman" w:hAnsi="Times New Roman" w:eastAsia="仿宋" w:cs="Times New Roman"/>
          <w:color w:val="auto"/>
          <w:sz w:val="24"/>
          <w:szCs w:val="24"/>
        </w:rPr>
        <w:t>（一）磋商文件获取方式</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凡有意参加磋商的供应商，请于公告发布之日起至提交首次响应文件截止时间之前，通过重庆市第七人民医院官网（www.cq7y.com）下载本项目竞争性磋商文件、补遗等磋商前公布的所有项目资料，无论供应商下载与否，均视为已知晓所有磋商实质性要求内容（不提供现场发售）。</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（二）响应文件递交时间</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yellow"/>
        </w:rPr>
        <w:t>202</w:t>
      </w:r>
      <w:r>
        <w:rPr>
          <w:rFonts w:hint="eastAsia" w:ascii="Times New Roman" w:hAnsi="Times New Roman" w:eastAsia="仿宋" w:cs="Times New Roman"/>
          <w:color w:val="auto"/>
          <w:sz w:val="24"/>
          <w:szCs w:val="24"/>
          <w:highlight w:val="yellow"/>
          <w:lang w:val="en-US" w:eastAsia="zh-CN"/>
        </w:rPr>
        <w:t>5</w:t>
      </w:r>
      <w:r>
        <w:rPr>
          <w:rFonts w:hint="default" w:ascii="Times New Roman" w:hAnsi="Times New Roman" w:eastAsia="仿宋" w:cs="Times New Roman"/>
          <w:color w:val="auto"/>
          <w:sz w:val="24"/>
          <w:szCs w:val="24"/>
          <w:highlight w:val="yellow"/>
        </w:rPr>
        <w:t>年</w:t>
      </w:r>
      <w:r>
        <w:rPr>
          <w:rFonts w:hint="eastAsia" w:ascii="Times New Roman" w:hAnsi="Times New Roman" w:eastAsia="仿宋" w:cs="Times New Roman"/>
          <w:color w:val="auto"/>
          <w:sz w:val="24"/>
          <w:szCs w:val="24"/>
          <w:highlight w:val="yellow"/>
          <w:lang w:val="en-US" w:eastAsia="zh-CN"/>
        </w:rPr>
        <w:t>6</w:t>
      </w:r>
      <w:r>
        <w:rPr>
          <w:rFonts w:hint="default" w:ascii="Times New Roman" w:hAnsi="Times New Roman" w:eastAsia="仿宋" w:cs="Times New Roman"/>
          <w:color w:val="auto"/>
          <w:sz w:val="24"/>
          <w:szCs w:val="24"/>
          <w:highlight w:val="yellow"/>
        </w:rPr>
        <w:t>月</w:t>
      </w:r>
      <w:r>
        <w:rPr>
          <w:rFonts w:hint="eastAsia" w:ascii="Times New Roman" w:hAnsi="Times New Roman" w:eastAsia="仿宋" w:cs="Times New Roman"/>
          <w:color w:val="auto"/>
          <w:sz w:val="24"/>
          <w:szCs w:val="24"/>
          <w:highlight w:val="yellow"/>
          <w:lang w:val="en-US" w:eastAsia="zh-CN"/>
        </w:rPr>
        <w:t>26</w:t>
      </w:r>
      <w:r>
        <w:rPr>
          <w:rFonts w:hint="default" w:ascii="Times New Roman" w:hAnsi="Times New Roman" w:eastAsia="仿宋" w:cs="Times New Roman"/>
          <w:color w:val="auto"/>
          <w:sz w:val="24"/>
          <w:szCs w:val="24"/>
          <w:highlight w:val="yellow"/>
        </w:rPr>
        <w:t>日</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0</w:t>
      </w:r>
      <w:r>
        <w:rPr>
          <w:rFonts w:hint="default" w:ascii="Times New Roman" w:hAnsi="Times New Roman" w:eastAsia="仿宋" w:cs="Times New Roman"/>
          <w:color w:val="auto"/>
          <w:sz w:val="24"/>
          <w:szCs w:val="24"/>
          <w:highlight w:val="yellow"/>
        </w:rPr>
        <w:t>0-</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3</w:t>
      </w:r>
      <w:r>
        <w:rPr>
          <w:rFonts w:hint="default" w:ascii="Times New Roman" w:hAnsi="Times New Roman" w:eastAsia="仿宋" w:cs="Times New Roman"/>
          <w:color w:val="auto"/>
          <w:sz w:val="24"/>
          <w:szCs w:val="24"/>
          <w:highlight w:val="yellow"/>
        </w:rPr>
        <w:t>0</w:t>
      </w:r>
      <w:r>
        <w:rPr>
          <w:rFonts w:hint="default" w:ascii="Times New Roman" w:hAnsi="Times New Roman" w:eastAsia="仿宋" w:cs="Times New Roman"/>
          <w:color w:val="auto"/>
          <w:sz w:val="24"/>
          <w:szCs w:val="24"/>
        </w:rPr>
        <w:t>（响应文件递交到重庆市第七人民医院住院部采购会议室（职工食堂二楼） 。报名资料《重庆市第七人民医院报名表》开标前收取，请勿装入响应文件密封！</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（二）报名方式</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该项目只在</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当天</w:t>
      </w:r>
      <w:r>
        <w:rPr>
          <w:rFonts w:hint="default" w:ascii="Times New Roman" w:hAnsi="Times New Roman" w:eastAsia="仿宋" w:cs="Times New Roman"/>
          <w:color w:val="auto"/>
          <w:sz w:val="24"/>
          <w:szCs w:val="24"/>
          <w:highlight w:val="yellow"/>
        </w:rPr>
        <w:t>202</w:t>
      </w:r>
      <w:r>
        <w:rPr>
          <w:rFonts w:hint="eastAsia" w:ascii="Times New Roman" w:hAnsi="Times New Roman" w:eastAsia="仿宋" w:cs="Times New Roman"/>
          <w:color w:val="auto"/>
          <w:sz w:val="24"/>
          <w:szCs w:val="24"/>
          <w:highlight w:val="yellow"/>
          <w:lang w:val="en-US" w:eastAsia="zh-CN"/>
        </w:rPr>
        <w:t>5</w:t>
      </w:r>
      <w:r>
        <w:rPr>
          <w:rFonts w:hint="default" w:ascii="Times New Roman" w:hAnsi="Times New Roman" w:eastAsia="仿宋" w:cs="Times New Roman"/>
          <w:color w:val="auto"/>
          <w:sz w:val="24"/>
          <w:szCs w:val="24"/>
          <w:highlight w:val="yellow"/>
        </w:rPr>
        <w:t>年</w:t>
      </w:r>
      <w:r>
        <w:rPr>
          <w:rFonts w:hint="eastAsia" w:ascii="Times New Roman" w:hAnsi="Times New Roman" w:eastAsia="仿宋" w:cs="Times New Roman"/>
          <w:color w:val="auto"/>
          <w:sz w:val="24"/>
          <w:szCs w:val="24"/>
          <w:highlight w:val="yellow"/>
          <w:lang w:val="en-US" w:eastAsia="zh-CN"/>
        </w:rPr>
        <w:t>6</w:t>
      </w:r>
      <w:r>
        <w:rPr>
          <w:rFonts w:hint="default" w:ascii="Times New Roman" w:hAnsi="Times New Roman" w:eastAsia="仿宋" w:cs="Times New Roman"/>
          <w:color w:val="auto"/>
          <w:sz w:val="24"/>
          <w:szCs w:val="24"/>
          <w:highlight w:val="yellow"/>
        </w:rPr>
        <w:t>月</w:t>
      </w:r>
      <w:r>
        <w:rPr>
          <w:rFonts w:hint="eastAsia" w:ascii="Times New Roman" w:hAnsi="Times New Roman" w:eastAsia="仿宋" w:cs="Times New Roman"/>
          <w:color w:val="auto"/>
          <w:sz w:val="24"/>
          <w:szCs w:val="24"/>
          <w:highlight w:val="yellow"/>
          <w:lang w:val="en-US" w:eastAsia="zh-CN"/>
        </w:rPr>
        <w:t>26</w:t>
      </w:r>
      <w:r>
        <w:rPr>
          <w:rFonts w:hint="default" w:ascii="Times New Roman" w:hAnsi="Times New Roman" w:eastAsia="仿宋" w:cs="Times New Roman"/>
          <w:color w:val="auto"/>
          <w:sz w:val="24"/>
          <w:szCs w:val="24"/>
          <w:highlight w:val="yellow"/>
        </w:rPr>
        <w:t>日</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0</w:t>
      </w:r>
      <w:r>
        <w:rPr>
          <w:rFonts w:hint="default" w:ascii="Times New Roman" w:hAnsi="Times New Roman" w:eastAsia="仿宋" w:cs="Times New Roman"/>
          <w:color w:val="auto"/>
          <w:sz w:val="24"/>
          <w:szCs w:val="24"/>
          <w:highlight w:val="yellow"/>
        </w:rPr>
        <w:t>0—</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3</w:t>
      </w:r>
      <w:r>
        <w:rPr>
          <w:rFonts w:hint="default" w:ascii="Times New Roman" w:hAnsi="Times New Roman" w:eastAsia="仿宋" w:cs="Times New Roman"/>
          <w:color w:val="auto"/>
          <w:sz w:val="24"/>
          <w:szCs w:val="24"/>
          <w:highlight w:val="yellow"/>
        </w:rPr>
        <w:t>0集中报名</w:t>
      </w:r>
      <w:r>
        <w:rPr>
          <w:rFonts w:hint="default" w:ascii="Times New Roman" w:hAnsi="Times New Roman" w:eastAsia="仿宋" w:cs="Times New Roman"/>
          <w:color w:val="auto"/>
          <w:sz w:val="24"/>
          <w:szCs w:val="24"/>
        </w:rPr>
        <w:t>，并与接受</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响应文件同步进行。该项目不接受其他方式报名。</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拟参与</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的供应商凭报名文件（第五篇）报名，报名全套资料加盖公章。</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（三）</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响应文件递交时间</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highlight w:val="yellow"/>
        </w:rPr>
        <w:t>202</w:t>
      </w:r>
      <w:r>
        <w:rPr>
          <w:rFonts w:hint="eastAsia" w:ascii="Times New Roman" w:hAnsi="Times New Roman" w:eastAsia="仿宋" w:cs="Times New Roman"/>
          <w:color w:val="auto"/>
          <w:sz w:val="24"/>
          <w:szCs w:val="24"/>
          <w:highlight w:val="yellow"/>
          <w:lang w:val="en-US" w:eastAsia="zh-CN"/>
        </w:rPr>
        <w:t>5</w:t>
      </w:r>
      <w:r>
        <w:rPr>
          <w:rFonts w:hint="default" w:ascii="Times New Roman" w:hAnsi="Times New Roman" w:eastAsia="仿宋" w:cs="Times New Roman"/>
          <w:color w:val="auto"/>
          <w:sz w:val="24"/>
          <w:szCs w:val="24"/>
          <w:highlight w:val="yellow"/>
        </w:rPr>
        <w:t>年</w:t>
      </w:r>
      <w:r>
        <w:rPr>
          <w:rFonts w:hint="eastAsia" w:ascii="Times New Roman" w:hAnsi="Times New Roman" w:eastAsia="仿宋" w:cs="Times New Roman"/>
          <w:color w:val="auto"/>
          <w:sz w:val="24"/>
          <w:szCs w:val="24"/>
          <w:highlight w:val="yellow"/>
          <w:lang w:val="en-US" w:eastAsia="zh-CN"/>
        </w:rPr>
        <w:t>6</w:t>
      </w:r>
      <w:r>
        <w:rPr>
          <w:rFonts w:hint="default" w:ascii="Times New Roman" w:hAnsi="Times New Roman" w:eastAsia="仿宋" w:cs="Times New Roman"/>
          <w:color w:val="auto"/>
          <w:sz w:val="24"/>
          <w:szCs w:val="24"/>
          <w:highlight w:val="yellow"/>
        </w:rPr>
        <w:t>月</w:t>
      </w:r>
      <w:r>
        <w:rPr>
          <w:rFonts w:hint="eastAsia" w:ascii="Times New Roman" w:hAnsi="Times New Roman" w:eastAsia="仿宋" w:cs="Times New Roman"/>
          <w:color w:val="auto"/>
          <w:sz w:val="24"/>
          <w:szCs w:val="24"/>
          <w:highlight w:val="yellow"/>
          <w:lang w:val="en-US" w:eastAsia="zh-CN"/>
        </w:rPr>
        <w:t>26</w:t>
      </w:r>
      <w:r>
        <w:rPr>
          <w:rFonts w:hint="default" w:ascii="Times New Roman" w:hAnsi="Times New Roman" w:eastAsia="仿宋" w:cs="Times New Roman"/>
          <w:color w:val="auto"/>
          <w:sz w:val="24"/>
          <w:szCs w:val="24"/>
          <w:highlight w:val="yellow"/>
        </w:rPr>
        <w:t>日</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0</w:t>
      </w:r>
      <w:r>
        <w:rPr>
          <w:rFonts w:hint="default" w:ascii="Times New Roman" w:hAnsi="Times New Roman" w:eastAsia="仿宋" w:cs="Times New Roman"/>
          <w:color w:val="auto"/>
          <w:sz w:val="24"/>
          <w:szCs w:val="24"/>
          <w:highlight w:val="yellow"/>
        </w:rPr>
        <w:t>0—</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w:t>
      </w:r>
      <w:r>
        <w:rPr>
          <w:rFonts w:hint="eastAsia" w:ascii="Times New Roman" w:hAnsi="Times New Roman" w:eastAsia="仿宋" w:cs="Times New Roman"/>
          <w:color w:val="auto"/>
          <w:sz w:val="24"/>
          <w:szCs w:val="24"/>
          <w:highlight w:val="yellow"/>
          <w:lang w:val="en-US" w:eastAsia="zh-CN"/>
        </w:rPr>
        <w:t>3</w:t>
      </w:r>
      <w:r>
        <w:rPr>
          <w:rFonts w:hint="default" w:ascii="Times New Roman" w:hAnsi="Times New Roman" w:eastAsia="仿宋" w:cs="Times New Roman"/>
          <w:color w:val="auto"/>
          <w:sz w:val="24"/>
          <w:szCs w:val="24"/>
          <w:highlight w:val="yellow"/>
        </w:rPr>
        <w:t>0</w:t>
      </w:r>
      <w:r>
        <w:rPr>
          <w:rFonts w:hint="default" w:ascii="Times New Roman" w:hAnsi="Times New Roman" w:eastAsia="仿宋" w:cs="Times New Roman"/>
          <w:color w:val="auto"/>
          <w:sz w:val="24"/>
          <w:szCs w:val="24"/>
        </w:rPr>
        <w:t>。</w:t>
      </w:r>
    </w:p>
    <w:p>
      <w:pPr>
        <w:spacing w:beforeLines="0" w:afterLines="0"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（四）</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采购地点：</w:t>
      </w:r>
      <w:r>
        <w:rPr>
          <w:rFonts w:hint="eastAsia" w:ascii="Times New Roman" w:hAnsi="Times New Roman" w:eastAsia="仿宋" w:cs="Times New Roman"/>
          <w:color w:val="auto"/>
          <w:sz w:val="24"/>
          <w:szCs w:val="24"/>
          <w:lang w:eastAsia="zh-CN"/>
        </w:rPr>
        <w:t>重庆市第七人民医院住院部10号楼三会议室</w:t>
      </w:r>
      <w:r>
        <w:rPr>
          <w:rFonts w:hint="default" w:ascii="Times New Roman" w:hAnsi="Times New Roman" w:eastAsia="仿宋" w:cs="Times New Roman"/>
          <w:color w:val="auto"/>
          <w:sz w:val="24"/>
          <w:szCs w:val="24"/>
        </w:rPr>
        <w:t>。</w:t>
      </w:r>
    </w:p>
    <w:p>
      <w:pPr>
        <w:spacing w:beforeLines="0" w:afterLines="0" w:line="400" w:lineRule="exact"/>
        <w:ind w:firstLine="480" w:firstLineChars="200"/>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（五）</w:t>
      </w:r>
      <w:r>
        <w:rPr>
          <w:rFonts w:hint="eastAsia" w:ascii="Times New Roman" w:hAnsi="Times New Roman" w:eastAsia="仿宋" w:cs="Times New Roman"/>
          <w:color w:val="auto"/>
          <w:sz w:val="24"/>
          <w:szCs w:val="24"/>
          <w:lang w:eastAsia="zh-CN"/>
        </w:rPr>
        <w:t>磋商</w:t>
      </w:r>
      <w:r>
        <w:rPr>
          <w:rFonts w:hint="default" w:ascii="Times New Roman" w:hAnsi="Times New Roman" w:eastAsia="仿宋" w:cs="Times New Roman"/>
          <w:color w:val="auto"/>
          <w:sz w:val="24"/>
          <w:szCs w:val="24"/>
        </w:rPr>
        <w:t>采购时间：</w:t>
      </w:r>
      <w:r>
        <w:rPr>
          <w:rFonts w:hint="default" w:ascii="Times New Roman" w:hAnsi="Times New Roman" w:eastAsia="仿宋" w:cs="Times New Roman"/>
          <w:color w:val="auto"/>
          <w:sz w:val="24"/>
          <w:szCs w:val="24"/>
          <w:highlight w:val="yellow"/>
        </w:rPr>
        <w:t>202</w:t>
      </w:r>
      <w:r>
        <w:rPr>
          <w:rFonts w:hint="eastAsia" w:ascii="Times New Roman" w:hAnsi="Times New Roman" w:eastAsia="仿宋" w:cs="Times New Roman"/>
          <w:color w:val="auto"/>
          <w:sz w:val="24"/>
          <w:szCs w:val="24"/>
          <w:highlight w:val="yellow"/>
          <w:lang w:val="en-US" w:eastAsia="zh-CN"/>
        </w:rPr>
        <w:t>5</w:t>
      </w:r>
      <w:r>
        <w:rPr>
          <w:rFonts w:hint="default" w:ascii="Times New Roman" w:hAnsi="Times New Roman" w:eastAsia="仿宋" w:cs="Times New Roman"/>
          <w:color w:val="auto"/>
          <w:sz w:val="24"/>
          <w:szCs w:val="24"/>
          <w:highlight w:val="yellow"/>
        </w:rPr>
        <w:t>年</w:t>
      </w:r>
      <w:r>
        <w:rPr>
          <w:rFonts w:hint="eastAsia" w:ascii="Times New Roman" w:hAnsi="Times New Roman" w:eastAsia="仿宋" w:cs="Times New Roman"/>
          <w:color w:val="auto"/>
          <w:sz w:val="24"/>
          <w:szCs w:val="24"/>
          <w:highlight w:val="yellow"/>
          <w:lang w:val="en-US" w:eastAsia="zh-CN"/>
        </w:rPr>
        <w:t>6</w:t>
      </w:r>
      <w:r>
        <w:rPr>
          <w:rFonts w:hint="default" w:ascii="Times New Roman" w:hAnsi="Times New Roman" w:eastAsia="仿宋" w:cs="Times New Roman"/>
          <w:color w:val="auto"/>
          <w:sz w:val="24"/>
          <w:szCs w:val="24"/>
          <w:highlight w:val="yellow"/>
        </w:rPr>
        <w:t>月</w:t>
      </w:r>
      <w:r>
        <w:rPr>
          <w:rFonts w:hint="eastAsia" w:ascii="Times New Roman" w:hAnsi="Times New Roman" w:eastAsia="仿宋" w:cs="Times New Roman"/>
          <w:color w:val="auto"/>
          <w:sz w:val="24"/>
          <w:szCs w:val="24"/>
          <w:highlight w:val="yellow"/>
          <w:lang w:val="en-US" w:eastAsia="zh-CN"/>
        </w:rPr>
        <w:t>26</w:t>
      </w:r>
      <w:r>
        <w:rPr>
          <w:rFonts w:hint="default" w:ascii="Times New Roman" w:hAnsi="Times New Roman" w:eastAsia="仿宋" w:cs="Times New Roman"/>
          <w:color w:val="auto"/>
          <w:sz w:val="24"/>
          <w:szCs w:val="24"/>
          <w:highlight w:val="yellow"/>
        </w:rPr>
        <w:t>日北京时间</w:t>
      </w:r>
      <w:r>
        <w:rPr>
          <w:rFonts w:hint="eastAsia" w:ascii="Times New Roman" w:hAnsi="Times New Roman" w:eastAsia="仿宋" w:cs="Times New Roman"/>
          <w:color w:val="auto"/>
          <w:sz w:val="24"/>
          <w:szCs w:val="24"/>
          <w:highlight w:val="yellow"/>
          <w:lang w:val="en-US" w:eastAsia="zh-CN"/>
        </w:rPr>
        <w:t>14</w:t>
      </w:r>
      <w:r>
        <w:rPr>
          <w:rFonts w:hint="default" w:ascii="Times New Roman" w:hAnsi="Times New Roman" w:eastAsia="仿宋" w:cs="Times New Roman"/>
          <w:color w:val="auto"/>
          <w:sz w:val="24"/>
          <w:szCs w:val="24"/>
          <w:highlight w:val="yellow"/>
        </w:rPr>
        <w:t>时</w:t>
      </w:r>
      <w:r>
        <w:rPr>
          <w:rFonts w:hint="eastAsia" w:ascii="Times New Roman" w:hAnsi="Times New Roman" w:eastAsia="仿宋" w:cs="Times New Roman"/>
          <w:color w:val="auto"/>
          <w:sz w:val="24"/>
          <w:szCs w:val="24"/>
          <w:highlight w:val="yellow"/>
          <w:lang w:val="en-US" w:eastAsia="zh-CN"/>
        </w:rPr>
        <w:t>30</w:t>
      </w:r>
      <w:r>
        <w:rPr>
          <w:rFonts w:hint="default" w:ascii="Times New Roman" w:hAnsi="Times New Roman" w:eastAsia="仿宋" w:cs="Times New Roman"/>
          <w:color w:val="auto"/>
          <w:sz w:val="24"/>
          <w:szCs w:val="24"/>
          <w:highlight w:val="yellow"/>
        </w:rPr>
        <w:t>分00秒。</w:t>
      </w:r>
    </w:p>
    <w:p>
      <w:pPr>
        <w:spacing w:beforeLines="0" w:afterLines="0"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五</w:t>
      </w:r>
      <w:r>
        <w:rPr>
          <w:rFonts w:hint="default" w:ascii="Times New Roman" w:hAnsi="Times New Roman" w:eastAsia="仿宋" w:cs="Times New Roman"/>
          <w:b/>
          <w:bCs/>
          <w:color w:val="auto"/>
          <w:sz w:val="24"/>
          <w:szCs w:val="24"/>
        </w:rPr>
        <w:t>、采购项目需落实的政府采购政策</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napToGrid w:val="0"/>
        <w:spacing w:beforeLines="0" w:afterLines="0"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beforeLines="0" w:afterLines="0"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（二）按照财政部、工业和信息化部关于印发《政府采购促进中小企业发展管理办法》的通知（财库〔2020〕46号），落实促进中小企业发展政策。</w:t>
      </w:r>
    </w:p>
    <w:p>
      <w:pPr>
        <w:snapToGrid w:val="0"/>
        <w:spacing w:beforeLines="0" w:afterLines="0"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（三）按照《财政部、司法部关于政府采购支持监狱企业发展有关问题的通知》（财库〔2014〕68号）的规定，落实支持监狱企业发展政策。</w:t>
      </w:r>
    </w:p>
    <w:p>
      <w:pPr>
        <w:snapToGrid w:val="0"/>
        <w:spacing w:beforeLines="0" w:afterLines="0"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（四）按照《三部门联合发布关于促进残疾人就业政府采购政策的通知》（财库〔2017〕 141号）的规定，落实支持残疾人福利性单位发展政策。</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szCs w:val="24"/>
        </w:rPr>
      </w:pPr>
      <w:bookmarkStart w:id="124" w:name="_Toc4728"/>
      <w:bookmarkStart w:id="125" w:name="_Toc20569"/>
      <w:bookmarkStart w:id="126" w:name="_Toc7599"/>
      <w:bookmarkStart w:id="127" w:name="_Toc603"/>
      <w:bookmarkStart w:id="128" w:name="_Toc8410"/>
      <w:bookmarkStart w:id="129" w:name="_Toc1708"/>
      <w:bookmarkStart w:id="130" w:name="_Toc6563"/>
      <w:bookmarkStart w:id="131" w:name="_Toc16950"/>
      <w:bookmarkStart w:id="132" w:name="_Toc106034776"/>
      <w:bookmarkStart w:id="133" w:name="_Toc65660336"/>
      <w:bookmarkStart w:id="134" w:name="_Toc6135"/>
      <w:bookmarkStart w:id="135" w:name="_Toc28464"/>
      <w:bookmarkStart w:id="136" w:name="_Toc25156"/>
      <w:bookmarkStart w:id="137" w:name="_Toc20102"/>
      <w:bookmarkStart w:id="138" w:name="_Toc2447"/>
      <w:bookmarkStart w:id="139" w:name="_Toc29293"/>
      <w:bookmarkStart w:id="140" w:name="_Toc30611"/>
      <w:bookmarkStart w:id="141" w:name="_Toc31996"/>
      <w:bookmarkStart w:id="142" w:name="_Toc16269"/>
      <w:bookmarkStart w:id="143" w:name="_Toc521053055"/>
      <w:bookmarkStart w:id="144" w:name="_Toc525047163"/>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、其它有关规定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（一）单位负责人为同一人或者存在直接控股、管理关系的不同供应商，不得参加同一合同项（包）下的政府采购活动，否则均为无效报价。</w:t>
      </w:r>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（二）为采购项目提供整体设计、规范编制或者项目管理、监理、检测等服务的供应商，不得再参加该采购项目的其他采购活动。</w:t>
      </w:r>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（三）同一合同项（包）下的货物，制造商参与报价的，不得再委托代理商参与报价。</w:t>
      </w:r>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highlight w:val="none"/>
        </w:rPr>
        <w:t>（四）</w:t>
      </w:r>
      <w:r>
        <w:rPr>
          <w:rFonts w:hint="default" w:ascii="Times New Roman" w:hAnsi="Times New Roman" w:eastAsia="方正仿宋_GBK" w:cs="Times New Roman"/>
          <w:color w:val="auto"/>
          <w:sz w:val="24"/>
          <w:szCs w:val="24"/>
          <w:highlight w:val="none"/>
        </w:rPr>
        <w:t>本项</w:t>
      </w:r>
      <w:r>
        <w:rPr>
          <w:rFonts w:hint="default" w:ascii="Times New Roman" w:hAnsi="Times New Roman" w:eastAsia="方正仿宋_GBK" w:cs="Times New Roman"/>
          <w:color w:val="auto"/>
          <w:sz w:val="24"/>
          <w:szCs w:val="24"/>
        </w:rPr>
        <w:t>目的补遗文件（如果有）一律在重庆市第七人民医院官网（www.cq7y.com）上发布，请各供应商注意下载；无论供应商下载与否，均视同供应商已知晓本项目补遗文件（如果有）的内容。</w:t>
      </w:r>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（五）超过响应文件截止时间递交的响应文件，恕不接收。</w:t>
      </w:r>
    </w:p>
    <w:p>
      <w:pPr>
        <w:snapToGrid w:val="0"/>
        <w:spacing w:beforeLines="0" w:afterLines="0"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费用：无论</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结果如何，供应商参与本项目</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的所有费用均应由供应商自行承担。</w:t>
      </w:r>
    </w:p>
    <w:p>
      <w:pPr>
        <w:snapToGrid w:val="0"/>
        <w:spacing w:beforeLines="0" w:afterLines="0" w:line="400" w:lineRule="exact"/>
        <w:ind w:firstLine="361"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（七）</w:t>
      </w:r>
      <w:r>
        <w:rPr>
          <w:rFonts w:hint="default" w:ascii="Times New Roman" w:hAnsi="Times New Roman" w:eastAsia="方正仿宋_GBK" w:cs="Times New Roman"/>
          <w:b/>
          <w:sz w:val="24"/>
          <w:szCs w:val="24"/>
        </w:rPr>
        <w:t>本项目</w:t>
      </w:r>
      <w:r>
        <w:rPr>
          <w:rFonts w:hint="default" w:ascii="Times New Roman" w:hAnsi="Times New Roman" w:eastAsia="方正仿宋_GBK" w:cs="Times New Roman"/>
          <w:b/>
          <w:sz w:val="24"/>
          <w:szCs w:val="24"/>
          <w:lang w:val="en-US" w:eastAsia="zh-CN"/>
        </w:rPr>
        <w:t>不</w:t>
      </w:r>
      <w:r>
        <w:rPr>
          <w:rFonts w:hint="default" w:ascii="Times New Roman" w:hAnsi="Times New Roman" w:eastAsia="方正仿宋_GBK" w:cs="Times New Roman"/>
          <w:b/>
          <w:sz w:val="24"/>
          <w:szCs w:val="24"/>
        </w:rPr>
        <w:t>接受联合体参与报价。</w:t>
      </w:r>
    </w:p>
    <w:p>
      <w:pPr>
        <w:snapToGrid w:val="0"/>
        <w:spacing w:beforeLines="0" w:afterLines="0" w:line="400" w:lineRule="exact"/>
        <w:ind w:firstLine="361" w:firstLineChars="15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（八）本项目</w:t>
      </w:r>
      <w:r>
        <w:rPr>
          <w:rFonts w:hint="default" w:ascii="Times New Roman" w:hAnsi="Times New Roman" w:eastAsia="方正仿宋_GBK" w:cs="Times New Roman"/>
          <w:b/>
          <w:sz w:val="24"/>
          <w:szCs w:val="24"/>
          <w:lang w:val="en-US" w:eastAsia="zh-CN"/>
        </w:rPr>
        <w:t>不</w:t>
      </w:r>
      <w:r>
        <w:rPr>
          <w:rFonts w:hint="default" w:ascii="Times New Roman" w:hAnsi="Times New Roman" w:eastAsia="方正仿宋_GBK" w:cs="Times New Roman"/>
          <w:b/>
          <w:sz w:val="24"/>
          <w:szCs w:val="24"/>
        </w:rPr>
        <w:t>接受合同分包。</w:t>
      </w:r>
    </w:p>
    <w:p>
      <w:pPr>
        <w:snapToGrid w:val="0"/>
        <w:spacing w:beforeLines="0" w:afterLines="0" w:line="400" w:lineRule="exact"/>
        <w:ind w:firstLine="361"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（九）</w:t>
      </w:r>
      <w:r>
        <w:rPr>
          <w:rFonts w:hint="default" w:ascii="Times New Roman" w:hAnsi="Times New Roman" w:eastAsia="方正仿宋_GBK" w:cs="Times New Roman"/>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szCs w:val="24"/>
        </w:rPr>
      </w:pPr>
      <w:bookmarkStart w:id="145" w:name="_Toc28700"/>
      <w:bookmarkStart w:id="146" w:name="_Toc16218"/>
      <w:bookmarkStart w:id="147" w:name="_Toc19837"/>
      <w:bookmarkStart w:id="148" w:name="_Toc106034777"/>
      <w:bookmarkStart w:id="149" w:name="_Toc7740"/>
      <w:bookmarkStart w:id="150" w:name="_Toc13828"/>
      <w:bookmarkStart w:id="151" w:name="_Toc521053056"/>
      <w:bookmarkStart w:id="152" w:name="_Toc26246"/>
      <w:bookmarkStart w:id="153" w:name="_Toc1552"/>
      <w:bookmarkStart w:id="154" w:name="_Toc32358"/>
      <w:bookmarkStart w:id="155" w:name="_Toc10415"/>
      <w:bookmarkStart w:id="156" w:name="_Toc1733"/>
      <w:bookmarkStart w:id="157" w:name="_Toc9745"/>
      <w:bookmarkStart w:id="158" w:name="_Toc65660337"/>
      <w:bookmarkStart w:id="159" w:name="_Toc525047164"/>
      <w:bookmarkStart w:id="160" w:name="_Toc24000"/>
      <w:bookmarkStart w:id="161" w:name="_Toc23001"/>
      <w:bookmarkStart w:id="162" w:name="_Toc8009"/>
      <w:bookmarkStart w:id="163" w:name="_Toc14736"/>
      <w:bookmarkStart w:id="164" w:name="_Toc29953"/>
      <w:bookmarkStart w:id="165" w:name="_Toc26895"/>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、联系方式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napToGrid w:val="0"/>
        <w:spacing w:line="400" w:lineRule="exact"/>
        <w:ind w:firstLine="480" w:firstLineChars="200"/>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采购联系人：胡老师 </w:t>
      </w:r>
      <w:r>
        <w:rPr>
          <w:rFonts w:hint="eastAsia" w:ascii="Times New Roman" w:hAnsi="Times New Roman" w:eastAsia="方正仿宋_GBK" w:cs="Times New Roman"/>
          <w:sz w:val="24"/>
          <w:szCs w:val="24"/>
          <w:lang w:val="en-US" w:eastAsia="zh-CN"/>
        </w:rPr>
        <w:t>潘</w:t>
      </w:r>
      <w:r>
        <w:rPr>
          <w:rFonts w:hint="default" w:ascii="Times New Roman" w:hAnsi="Times New Roman" w:eastAsia="方正仿宋_GBK" w:cs="Times New Roman"/>
          <w:sz w:val="24"/>
          <w:szCs w:val="24"/>
        </w:rPr>
        <w:t>老师   联系电话：023-62852113</w:t>
      </w:r>
    </w:p>
    <w:p>
      <w:pPr>
        <w:snapToGrid w:val="0"/>
        <w:spacing w:line="400" w:lineRule="exact"/>
        <w:ind w:firstLine="480" w:firstLineChars="200"/>
        <w:outlineLvl w:val="9"/>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技术</w:t>
      </w:r>
      <w:r>
        <w:rPr>
          <w:rFonts w:hint="eastAsia" w:ascii="Times New Roman" w:hAnsi="Times New Roman" w:eastAsia="方正仿宋_GBK" w:cs="Times New Roman"/>
          <w:sz w:val="24"/>
          <w:szCs w:val="24"/>
          <w:lang w:val="en-US" w:eastAsia="zh-CN"/>
        </w:rPr>
        <w:t>联系人</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邹</w:t>
      </w:r>
      <w:r>
        <w:rPr>
          <w:rFonts w:hint="default" w:ascii="Times New Roman" w:hAnsi="Times New Roman" w:eastAsia="方正仿宋_GBK" w:cs="Times New Roman"/>
          <w:sz w:val="24"/>
          <w:szCs w:val="24"/>
        </w:rPr>
        <w:t>老师  联系电话：023-</w:t>
      </w:r>
      <w:r>
        <w:rPr>
          <w:rFonts w:hint="eastAsia" w:ascii="Times New Roman" w:hAnsi="Times New Roman" w:eastAsia="方正仿宋_GBK" w:cs="Times New Roman"/>
          <w:sz w:val="24"/>
          <w:szCs w:val="24"/>
          <w:lang w:val="en-US" w:eastAsia="zh-CN"/>
        </w:rPr>
        <w:t>62859571</w:t>
      </w:r>
    </w:p>
    <w:p>
      <w:pPr>
        <w:snapToGrid w:val="0"/>
        <w:spacing w:line="400" w:lineRule="exact"/>
        <w:ind w:firstLine="480" w:firstLineChars="200"/>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监督投诉部门：</w:t>
      </w:r>
      <w:r>
        <w:rPr>
          <w:rFonts w:hint="default" w:ascii="Times New Roman" w:hAnsi="Times New Roman" w:eastAsia="方正仿宋_GBK" w:cs="Times New Roman"/>
          <w:sz w:val="24"/>
          <w:szCs w:val="24"/>
        </w:rPr>
        <w:t>重庆市第七人民医院监察审计科</w:t>
      </w:r>
      <w:r>
        <w:rPr>
          <w:rFonts w:hint="eastAsia" w:ascii="Times New Roman" w:hAnsi="Times New Roman" w:eastAsia="方正仿宋_GBK" w:cs="Times New Roman"/>
          <w:sz w:val="24"/>
          <w:szCs w:val="24"/>
          <w:lang w:val="en-US" w:eastAsia="zh-CN"/>
        </w:rPr>
        <w:t xml:space="preserve">     联系电话： </w:t>
      </w:r>
      <w:r>
        <w:rPr>
          <w:rFonts w:hint="default" w:ascii="Times New Roman" w:hAnsi="Times New Roman" w:eastAsia="方正仿宋_GBK" w:cs="Times New Roman"/>
          <w:sz w:val="24"/>
          <w:szCs w:val="24"/>
        </w:rPr>
        <w:t>023－62859584</w:t>
      </w:r>
    </w:p>
    <w:p>
      <w:pPr>
        <w:snapToGrid w:val="0"/>
        <w:spacing w:line="400" w:lineRule="exact"/>
        <w:ind w:firstLine="480" w:firstLineChars="200"/>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工作时间：8:00-12:00 14:30-17:30</w:t>
      </w:r>
    </w:p>
    <w:p>
      <w:pPr>
        <w:snapToGrid w:val="0"/>
        <w:spacing w:line="400" w:lineRule="exact"/>
        <w:ind w:firstLine="480" w:firstLineChars="200"/>
        <w:outlineLvl w:val="9"/>
        <w:rPr>
          <w:rFonts w:hint="default" w:ascii="Times New Roman" w:hAnsi="Times New Roman" w:eastAsia="方正仿宋_GBK" w:cs="Times New Roman"/>
          <w:sz w:val="24"/>
          <w:szCs w:val="24"/>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r>
        <w:rPr>
          <w:rFonts w:hint="eastAsia" w:ascii="Times New Roman" w:hAnsi="Times New Roman" w:eastAsia="方正仿宋_GBK" w:cs="Times New Roman"/>
          <w:sz w:val="24"/>
          <w:szCs w:val="24"/>
          <w:lang w:val="en-US" w:eastAsia="zh-CN"/>
        </w:rPr>
        <w:t>采购人联系</w:t>
      </w:r>
      <w:r>
        <w:rPr>
          <w:rFonts w:hint="default" w:ascii="Times New Roman" w:hAnsi="Times New Roman" w:eastAsia="方正仿宋_GBK" w:cs="Times New Roman"/>
          <w:sz w:val="24"/>
          <w:szCs w:val="24"/>
        </w:rPr>
        <w:t>地址：重庆市第七人民医院住院部行政楼采购办公室（重庆市巴南区李家沱工联一村1号）</w:t>
      </w:r>
    </w:p>
    <w:p>
      <w:pPr>
        <w:pStyle w:val="4"/>
        <w:numPr>
          <w:ilvl w:val="0"/>
          <w:numId w:val="13"/>
        </w:numPr>
        <w:spacing w:before="0" w:after="0" w:line="360" w:lineRule="auto"/>
        <w:jc w:val="center"/>
        <w:rPr>
          <w:rFonts w:hint="default" w:ascii="Times New Roman" w:hAnsi="Times New Roman" w:eastAsia="方正小标宋_GBK" w:cs="Times New Roman"/>
          <w:b w:val="0"/>
          <w:sz w:val="36"/>
          <w:szCs w:val="30"/>
        </w:rPr>
      </w:pPr>
      <w:bookmarkStart w:id="166" w:name="_Toc7858"/>
      <w:bookmarkStart w:id="167" w:name="_Toc24389"/>
      <w:bookmarkStart w:id="168" w:name="_Toc11327"/>
      <w:bookmarkStart w:id="169" w:name="_Toc21291"/>
      <w:bookmarkStart w:id="170" w:name="_Toc6097"/>
      <w:bookmarkStart w:id="171" w:name="_Toc17940"/>
      <w:bookmarkStart w:id="172" w:name="_Toc65660338"/>
      <w:bookmarkStart w:id="173" w:name="_Toc7900"/>
      <w:bookmarkStart w:id="174" w:name="_Toc2732"/>
      <w:bookmarkStart w:id="175" w:name="_Toc22827"/>
      <w:bookmarkStart w:id="176" w:name="_Toc106034778"/>
      <w:bookmarkStart w:id="177" w:name="_Toc27471"/>
      <w:bookmarkStart w:id="178" w:name="_Toc14983"/>
      <w:bookmarkStart w:id="179" w:name="_Toc1292"/>
      <w:bookmarkStart w:id="180" w:name="_Toc26119"/>
      <w:bookmarkStart w:id="181" w:name="_Toc14516"/>
      <w:bookmarkStart w:id="182" w:name="_Toc29419"/>
      <w:bookmarkStart w:id="183" w:name="_Toc766"/>
      <w:bookmarkStart w:id="184" w:name="_Toc102227313"/>
      <w:r>
        <w:rPr>
          <w:rFonts w:hint="default" w:ascii="Times New Roman" w:hAnsi="Times New Roman" w:eastAsia="方正小标宋_GBK" w:cs="Times New Roman"/>
          <w:b w:val="0"/>
          <w:sz w:val="36"/>
          <w:szCs w:val="30"/>
        </w:rPr>
        <w:t xml:space="preserve"> </w:t>
      </w:r>
      <w:bookmarkStart w:id="185" w:name="_Toc30883"/>
      <w:r>
        <w:rPr>
          <w:rFonts w:hint="eastAsia" w:ascii="Times New Roman" w:hAnsi="Times New Roman" w:eastAsia="方正小标宋_GBK" w:cs="Times New Roman"/>
          <w:b w:val="0"/>
          <w:sz w:val="36"/>
          <w:szCs w:val="30"/>
          <w:lang w:eastAsia="zh-CN"/>
        </w:rPr>
        <w:t>磋商</w:t>
      </w:r>
      <w:r>
        <w:rPr>
          <w:rFonts w:hint="default" w:ascii="Times New Roman" w:hAnsi="Times New Roman" w:eastAsia="方正小标宋_GBK" w:cs="Times New Roman"/>
          <w:b w:val="0"/>
          <w:sz w:val="36"/>
          <w:szCs w:val="30"/>
        </w:rPr>
        <w:t>项目技术需求</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5"/>
      <w:bookmarkStart w:id="186" w:name="_Toc15492"/>
      <w:bookmarkStart w:id="187" w:name="_Toc523"/>
      <w:bookmarkStart w:id="188" w:name="_Toc65660341"/>
      <w:bookmarkStart w:id="189" w:name="_Toc13356"/>
      <w:bookmarkStart w:id="190" w:name="_Toc32625"/>
      <w:bookmarkStart w:id="191" w:name="_Toc25481"/>
      <w:bookmarkStart w:id="192" w:name="_Toc21854"/>
      <w:bookmarkStart w:id="193" w:name="_Toc18422"/>
      <w:bookmarkStart w:id="194" w:name="_Toc15446"/>
      <w:bookmarkStart w:id="195" w:name="_Toc4673"/>
      <w:bookmarkStart w:id="196" w:name="_Toc14324"/>
      <w:bookmarkStart w:id="197" w:name="_Toc24815"/>
      <w:bookmarkStart w:id="198" w:name="_Toc1996"/>
      <w:bookmarkStart w:id="199" w:name="_Toc22537"/>
      <w:bookmarkStart w:id="200" w:name="_Toc18890"/>
      <w:bookmarkStart w:id="201" w:name="_Toc7200"/>
      <w:bookmarkStart w:id="202" w:name="_Toc106034781"/>
      <w:bookmarkStart w:id="203" w:name="_Toc30170"/>
    </w:p>
    <w:p>
      <w:pPr>
        <w:pStyle w:val="35"/>
        <w:keepNext w:val="0"/>
        <w:keepLines w:val="0"/>
        <w:pageBreakBefore w:val="0"/>
        <w:numPr>
          <w:ilvl w:val="0"/>
          <w:numId w:val="0"/>
        </w:numPr>
        <w:kinsoku/>
        <w:wordWrap/>
        <w:overflowPunct/>
        <w:topLinePunct w:val="0"/>
        <w:autoSpaceDE/>
        <w:autoSpaceDN/>
        <w:bidi w:val="0"/>
        <w:spacing w:line="0" w:lineRule="atLeast"/>
        <w:jc w:val="left"/>
        <w:rPr>
          <w:rFonts w:hint="default" w:ascii="Times New Roman" w:hAnsi="Times New Roman" w:eastAsia="方正仿宋_GBK" w:cs="Times New Roman"/>
          <w:b/>
          <w:bCs/>
          <w:sz w:val="24"/>
          <w:szCs w:val="24"/>
          <w:lang w:val="en-US" w:eastAsia="zh-CN"/>
        </w:rPr>
      </w:pPr>
      <w:bookmarkStart w:id="204" w:name="_Toc23801"/>
      <w:r>
        <w:rPr>
          <w:rFonts w:hint="eastAsia" w:ascii="Times New Roman" w:hAnsi="Times New Roman" w:eastAsia="方正仿宋_GBK" w:cs="Times New Roman"/>
          <w:b/>
          <w:bCs/>
          <w:sz w:val="24"/>
          <w:szCs w:val="24"/>
          <w:lang w:val="en-US" w:eastAsia="zh-CN"/>
        </w:rPr>
        <w:t>一、</w:t>
      </w:r>
      <w:r>
        <w:rPr>
          <w:rFonts w:hint="default" w:ascii="Times New Roman" w:hAnsi="Times New Roman" w:eastAsia="方正仿宋_GBK" w:cs="Times New Roman"/>
          <w:b/>
          <w:bCs/>
          <w:sz w:val="24"/>
          <w:szCs w:val="24"/>
          <w:lang w:val="en-US" w:eastAsia="zh-CN"/>
        </w:rPr>
        <w:t>项目一览表：</w:t>
      </w:r>
    </w:p>
    <w:tbl>
      <w:tblPr>
        <w:tblStyle w:val="59"/>
        <w:tblpPr w:leftFromText="180" w:rightFromText="180" w:vertAnchor="text" w:horzAnchor="page" w:tblpXSpec="center" w:tblpY="242"/>
        <w:tblOverlap w:val="never"/>
        <w:tblW w:w="49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1153"/>
        <w:gridCol w:w="3874"/>
        <w:gridCol w:w="1784"/>
        <w:gridCol w:w="2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611" w:type="pct"/>
            <w:tcBorders>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bCs w:val="0"/>
                <w:i w:val="0"/>
                <w:color w:val="auto"/>
                <w:sz w:val="24"/>
                <w:szCs w:val="24"/>
                <w:u w:val="none"/>
              </w:rPr>
            </w:pPr>
            <w:r>
              <w:rPr>
                <w:rFonts w:hint="default" w:ascii="Times New Roman" w:hAnsi="Times New Roman" w:eastAsia="方正仿宋_GBK" w:cs="Times New Roman"/>
                <w:b/>
                <w:bCs w:val="0"/>
                <w:i w:val="0"/>
                <w:color w:val="auto"/>
                <w:kern w:val="0"/>
                <w:sz w:val="24"/>
                <w:szCs w:val="24"/>
                <w:u w:val="none"/>
                <w:lang w:val="en-US" w:eastAsia="zh-CN" w:bidi="ar"/>
              </w:rPr>
              <w:t>序号</w:t>
            </w:r>
          </w:p>
        </w:tc>
        <w:tc>
          <w:tcPr>
            <w:tcW w:w="2052"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bCs w:val="0"/>
                <w:i w:val="0"/>
                <w:color w:val="auto"/>
                <w:sz w:val="24"/>
                <w:szCs w:val="24"/>
                <w:u w:val="none"/>
                <w:lang w:val="en-US"/>
              </w:rPr>
            </w:pPr>
            <w:r>
              <w:rPr>
                <w:rFonts w:hint="default" w:ascii="Times New Roman" w:hAnsi="Times New Roman" w:eastAsia="方正仿宋_GBK" w:cs="Times New Roman"/>
                <w:b/>
                <w:bCs w:val="0"/>
                <w:i w:val="0"/>
                <w:color w:val="auto"/>
                <w:kern w:val="0"/>
                <w:sz w:val="24"/>
                <w:szCs w:val="24"/>
                <w:u w:val="none"/>
                <w:lang w:val="en-US" w:eastAsia="zh-CN" w:bidi="ar"/>
              </w:rPr>
              <w:t>项目名称</w:t>
            </w:r>
          </w:p>
        </w:tc>
        <w:tc>
          <w:tcPr>
            <w:tcW w:w="945"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bCs w:val="0"/>
                <w:i w:val="0"/>
                <w:color w:val="auto"/>
                <w:sz w:val="24"/>
                <w:szCs w:val="24"/>
                <w:u w:val="none"/>
              </w:rPr>
            </w:pPr>
            <w:r>
              <w:rPr>
                <w:rFonts w:hint="default" w:ascii="Times New Roman" w:hAnsi="Times New Roman" w:eastAsia="方正仿宋_GBK" w:cs="Times New Roman"/>
                <w:b/>
                <w:bCs w:val="0"/>
                <w:i w:val="0"/>
                <w:color w:val="auto"/>
                <w:kern w:val="0"/>
                <w:sz w:val="24"/>
                <w:szCs w:val="24"/>
                <w:u w:val="none"/>
                <w:lang w:val="en-US" w:eastAsia="zh-CN" w:bidi="ar"/>
              </w:rPr>
              <w:t>数量</w:t>
            </w:r>
          </w:p>
        </w:tc>
        <w:tc>
          <w:tcPr>
            <w:tcW w:w="1389" w:type="pct"/>
            <w:tcBorders>
              <w:left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bCs w:val="0"/>
                <w:i w:val="0"/>
                <w:color w:val="auto"/>
                <w:sz w:val="24"/>
                <w:szCs w:val="24"/>
                <w:u w:val="none"/>
                <w:lang w:val="en-US"/>
              </w:rPr>
            </w:pPr>
            <w:r>
              <w:rPr>
                <w:rFonts w:hint="default" w:ascii="Times New Roman" w:hAnsi="Times New Roman" w:eastAsia="方正仿宋_GBK" w:cs="Times New Roman"/>
                <w:b/>
                <w:bCs w:val="0"/>
                <w:i w:val="0"/>
                <w:color w:val="auto"/>
                <w:kern w:val="0"/>
                <w:sz w:val="24"/>
                <w:szCs w:val="24"/>
                <w:u w:val="none"/>
                <w:lang w:val="en-US" w:eastAsia="zh-CN" w:bidi="ar"/>
              </w:rPr>
              <w:t>送货地点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611" w:type="pct"/>
            <w:tcBorders>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val="0"/>
                <w:bCs/>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w:t>
            </w:r>
          </w:p>
        </w:tc>
        <w:tc>
          <w:tcPr>
            <w:tcW w:w="2052"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val="0"/>
                <w:bCs/>
                <w:i w:val="0"/>
                <w:color w:val="auto"/>
                <w:kern w:val="0"/>
                <w:sz w:val="24"/>
                <w:szCs w:val="24"/>
                <w:u w:val="none"/>
                <w:lang w:val="en-US" w:eastAsia="zh-CN" w:bidi="ar"/>
              </w:rPr>
            </w:pPr>
            <w:r>
              <w:rPr>
                <w:rFonts w:hint="eastAsia" w:ascii="Times New Roman" w:hAnsi="Times New Roman" w:eastAsia="方正仿宋_GBK" w:cs="Times New Roman"/>
                <w:i w:val="0"/>
                <w:color w:val="auto"/>
                <w:sz w:val="24"/>
                <w:szCs w:val="24"/>
                <w:u w:val="none"/>
                <w:lang w:val="en-US" w:eastAsia="zh-CN"/>
              </w:rPr>
              <w:t>PACS存储升级（第二次）</w:t>
            </w:r>
          </w:p>
        </w:tc>
        <w:tc>
          <w:tcPr>
            <w:tcW w:w="945"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val="0"/>
                <w:bCs/>
                <w:i w:val="0"/>
                <w:color w:val="auto"/>
                <w:kern w:val="0"/>
                <w:sz w:val="24"/>
                <w:szCs w:val="24"/>
                <w:u w:val="none"/>
                <w:lang w:val="en-US" w:eastAsia="zh-CN" w:bidi="ar"/>
              </w:rPr>
            </w:pPr>
            <w:r>
              <w:rPr>
                <w:rFonts w:hint="default" w:ascii="Times New Roman" w:hAnsi="Times New Roman" w:eastAsia="方正仿宋_GBK" w:cs="Times New Roman"/>
                <w:i w:val="0"/>
                <w:color w:val="auto"/>
                <w:sz w:val="24"/>
                <w:szCs w:val="24"/>
                <w:u w:val="none"/>
                <w:lang w:val="en-US" w:eastAsia="zh-CN"/>
              </w:rPr>
              <w:t>1</w:t>
            </w:r>
            <w:r>
              <w:rPr>
                <w:rFonts w:hint="eastAsia" w:ascii="Times New Roman" w:hAnsi="Times New Roman" w:eastAsia="方正仿宋_GBK" w:cs="Times New Roman"/>
                <w:i w:val="0"/>
                <w:color w:val="auto"/>
                <w:sz w:val="24"/>
                <w:szCs w:val="24"/>
                <w:u w:val="none"/>
                <w:lang w:val="en-US" w:eastAsia="zh-CN"/>
              </w:rPr>
              <w:t>项</w:t>
            </w:r>
          </w:p>
        </w:tc>
        <w:tc>
          <w:tcPr>
            <w:tcW w:w="1389" w:type="pct"/>
            <w:tcBorders>
              <w:left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Times New Roman" w:hAnsi="Times New Roman" w:eastAsia="方正仿宋_GBK" w:cs="Times New Roman"/>
                <w:b w:val="0"/>
                <w:bCs/>
                <w:i w:val="0"/>
                <w:color w:val="auto"/>
                <w:kern w:val="0"/>
                <w:sz w:val="24"/>
                <w:szCs w:val="24"/>
                <w:u w:val="none"/>
                <w:lang w:val="en-US" w:eastAsia="zh-CN" w:bidi="ar"/>
              </w:rPr>
            </w:pPr>
            <w:r>
              <w:rPr>
                <w:rFonts w:hint="eastAsia" w:ascii="Times New Roman" w:hAnsi="Times New Roman" w:eastAsia="方正仿宋_GBK" w:cs="Times New Roman"/>
                <w:i w:val="0"/>
                <w:color w:val="auto"/>
                <w:sz w:val="24"/>
                <w:szCs w:val="24"/>
                <w:u w:val="none"/>
                <w:lang w:val="en-US" w:eastAsia="zh-CN"/>
              </w:rPr>
              <w:t>重庆市第七人民医院</w:t>
            </w:r>
          </w:p>
        </w:tc>
      </w:tr>
    </w:tbl>
    <w:p>
      <w:pPr>
        <w:pStyle w:val="35"/>
        <w:keepNext w:val="0"/>
        <w:keepLines w:val="0"/>
        <w:pageBreakBefore w:val="0"/>
        <w:numPr>
          <w:ilvl w:val="0"/>
          <w:numId w:val="0"/>
        </w:numPr>
        <w:kinsoku/>
        <w:wordWrap/>
        <w:overflowPunct/>
        <w:topLinePunct w:val="0"/>
        <w:autoSpaceDE/>
        <w:autoSpaceDN/>
        <w:bidi w:val="0"/>
        <w:spacing w:line="0" w:lineRule="atLeast"/>
        <w:jc w:val="left"/>
        <w:rPr>
          <w:rFonts w:hint="default" w:ascii="Times New Roman" w:hAnsi="Times New Roman" w:eastAsia="方正仿宋_GBK" w:cs="Times New Roman"/>
          <w:b/>
          <w:bCs/>
          <w:sz w:val="24"/>
          <w:szCs w:val="24"/>
          <w:lang w:val="en-US" w:eastAsia="zh-CN"/>
        </w:rPr>
      </w:pPr>
      <w:r>
        <w:rPr>
          <w:rFonts w:hint="eastAsia" w:ascii="Times New Roman" w:hAnsi="Times New Roman" w:eastAsia="方正仿宋_GBK" w:cs="Times New Roman"/>
          <w:b/>
          <w:bCs/>
          <w:sz w:val="24"/>
          <w:szCs w:val="24"/>
          <w:highlight w:val="yellow"/>
          <w:lang w:val="en-US" w:eastAsia="zh-CN"/>
        </w:rPr>
        <w:t>二、</w:t>
      </w:r>
      <w:r>
        <w:rPr>
          <w:rFonts w:hint="default" w:ascii="Times New Roman" w:hAnsi="Times New Roman" w:eastAsia="方正仿宋_GBK" w:cs="Times New Roman"/>
          <w:b/>
          <w:bCs/>
          <w:sz w:val="24"/>
          <w:szCs w:val="24"/>
          <w:highlight w:val="yellow"/>
          <w:lang w:val="en-US" w:eastAsia="zh-CN"/>
        </w:rPr>
        <w:t>技术要求（需求）</w:t>
      </w:r>
      <w:r>
        <w:rPr>
          <w:rFonts w:hint="default" w:ascii="Times New Roman" w:hAnsi="Times New Roman" w:eastAsia="方正仿宋_GBK" w:cs="Times New Roman"/>
          <w:b/>
          <w:bCs/>
          <w:sz w:val="24"/>
          <w:szCs w:val="24"/>
          <w:lang w:val="en-US" w:eastAsia="zh-CN"/>
        </w:rPr>
        <w:t>：</w:t>
      </w:r>
    </w:p>
    <w:p>
      <w:pPr>
        <w:pStyle w:val="3"/>
        <w:keepLines w:val="0"/>
        <w:pageBreakBefore w:val="0"/>
        <w:widowControl w:val="0"/>
        <w:numPr>
          <w:ilvl w:val="0"/>
          <w:numId w:val="0"/>
        </w:numPr>
        <w:tabs>
          <w:tab w:val="left" w:pos="3360"/>
        </w:tabs>
        <w:kinsoku/>
        <w:wordWrap/>
        <w:overflowPunct/>
        <w:topLinePunct w:val="0"/>
        <w:autoSpaceDE/>
        <w:autoSpaceDN/>
        <w:bidi w:val="0"/>
        <w:adjustRightInd/>
        <w:spacing w:before="0" w:beforeLines="0" w:after="0" w:afterLines="0" w:line="420" w:lineRule="exact"/>
        <w:ind w:firstLine="482" w:firstLineChars="200"/>
        <w:jc w:val="left"/>
        <w:textAlignment w:val="auto"/>
        <w:rPr>
          <w:rFonts w:hint="default" w:ascii="Times New Roman" w:hAnsi="Times New Roman" w:eastAsia="方正仿宋_GBK" w:cs="Times New Roman"/>
          <w:b/>
          <w:bCs/>
          <w:kern w:val="2"/>
          <w:sz w:val="24"/>
          <w:szCs w:val="24"/>
          <w:lang w:val="en-US" w:eastAsia="zh-Hans" w:bidi="ar-SA"/>
        </w:rPr>
      </w:pPr>
      <w:r>
        <w:rPr>
          <w:rFonts w:hint="eastAsia" w:ascii="Times New Roman" w:hAnsi="Times New Roman" w:eastAsia="方正仿宋_GBK" w:cs="Times New Roman"/>
          <w:b/>
          <w:bCs/>
          <w:kern w:val="2"/>
          <w:sz w:val="24"/>
          <w:szCs w:val="24"/>
          <w:lang w:val="en-US" w:eastAsia="zh-CN" w:bidi="ar-SA"/>
        </w:rPr>
        <w:t>(一）总体要求</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分布式存储需要满足医院PACS存储的需要，实现全闪存储区存储在线数据，混闪存储区存储进线和离线数据。分布式存储设备设备供应商需配合用户完成PACS系统存储数据迁移。单台设备内存条插槽数≥32个，满足后续内存扩容需求。</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投标人需提供投标设备厂商近3年经营财报证明材料或投标设备厂商近3年财务审计报告。</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承诺现所提供的分布式存储设备主机配置满足后续满配数据HDD盘的使用性能需求。</w:t>
      </w:r>
    </w:p>
    <w:p>
      <w:pPr>
        <w:pStyle w:val="3"/>
        <w:keepLines w:val="0"/>
        <w:pageBreakBefore w:val="0"/>
        <w:widowControl w:val="0"/>
        <w:numPr>
          <w:ilvl w:val="0"/>
          <w:numId w:val="0"/>
        </w:numPr>
        <w:tabs>
          <w:tab w:val="left" w:pos="3360"/>
        </w:tabs>
        <w:kinsoku/>
        <w:wordWrap/>
        <w:overflowPunct/>
        <w:topLinePunct w:val="0"/>
        <w:autoSpaceDE/>
        <w:autoSpaceDN/>
        <w:bidi w:val="0"/>
        <w:adjustRightInd/>
        <w:spacing w:before="0" w:beforeLines="0" w:after="0" w:afterLines="0" w:line="420" w:lineRule="exact"/>
        <w:ind w:left="280" w:leftChars="0"/>
        <w:jc w:val="left"/>
        <w:textAlignment w:val="auto"/>
        <w:rPr>
          <w:rFonts w:hint="default" w:ascii="Times New Roman" w:hAnsi="Times New Roman" w:eastAsia="方正仿宋_GBK" w:cs="Times New Roman"/>
          <w:b/>
          <w:bCs/>
          <w:kern w:val="2"/>
          <w:sz w:val="24"/>
          <w:szCs w:val="24"/>
          <w:lang w:val="en-US" w:eastAsia="zh-Hans" w:bidi="ar-SA"/>
        </w:rPr>
      </w:pPr>
      <w:r>
        <w:rPr>
          <w:rFonts w:hint="eastAsia" w:ascii="Times New Roman" w:hAnsi="Times New Roman" w:eastAsia="方正仿宋_GBK" w:cs="Times New Roman"/>
          <w:b/>
          <w:bCs/>
          <w:kern w:val="2"/>
          <w:sz w:val="24"/>
          <w:szCs w:val="24"/>
          <w:lang w:val="en-US" w:eastAsia="zh-CN" w:bidi="ar-SA"/>
        </w:rPr>
        <w:t>（二）详细参数</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★存储设备配置3台4U 36（SAS/SATA 3.5寸）+4（SAS/SATA/NVMe 2.5寸）盘位服务器。单台配置满足以下全部要求：≥2颗CPU（16核、2.4GHz），≥256GB内存，≥2*480GB SSD，≥4*7.68TB NVME SSD，≥1*1.6TB NVME SSD（读写密集型），≥2*960GB SSD（读写密集型），≥6*8TB HDD，raid 1和直通，≥2*双口万兆网卡（满配多模模块），≥2*1G电口，双电冗余。投标人需按照要求提供设备厂商官网链接及截图或产品彩页或厂商出具的技术规格配置承诺并加盖投标人鲜章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电路安全防护功能，为保障存储设备充分供电稳定性，实现防雷，防过流、防过载、防过压、欠压、防设备漏电、接地失效、环境指标超标、供电BYPASS功能、供电系统模块运维管理和节能管控功能设备实配配套电路保护系统模块，具体功能如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要求实配电路保护系统模块，结构为多功能软硬件一体机，非多个设备组合，机架式≤1.5U，内置显示屏，标配通讯接口包含RJ45、4G、WIFI，标配网络防雷接口≥2路、接地通路接口≥2路、RS485接口≥6路、漏电监测接口≥6路、开关量接口≥3路、USB接口≥2路、HDMI接口≥1路、电源输出接口≥6路国标五孔插座；（提供产品完整实物的清晰照片并加盖投标人鲜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电路保护系统模块自带管理平台，支持对监测指标实时查询、数据分析、GIS地图展示、视频监控、设备管理、告警阈值管理、触发器管理、定时任务管理、工单管理、多级用户权限管理，支持远程监控、管理、运维；（提供国家认可的具有CNAS或CMA标识包含检测结果的检测报告及全国认证认可信息公共服务平台“检验检测报告编号查询”截图并加盖投标人鲜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3）电路保护系统模块支持监测诊断电流、电压、功率、每路输出插座的电流和功率、市电断电，支持防雷击、防浪涌和主板保护功能，标称放电电流In(8/20μs)≥20kA，最大放电电流Imax(8/20μs)≥40kA，电压保护水平Up≤1.7kV；（提供国家认可的具有CNAS或CMA标识包含检测结果的检测报告及全国认证认可信息公共服务平台“检验检测报告编号查询”截图并加盖投标人鲜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4）电路保护系统模块内置显示屏≥2.8寸，可查看监测信息和告警信息，维护方式可通过手机扫描设备屏显的电子二维码进行关注、注册，管理平台端和手机微信公众号端均可查询、故障报修、管理派发工单；（提供国家认可的具有CNAS或CMA标识包含检测结果的检测报告及全国认证认可信息公共服务平台“检验检测报告编号查询”截图并加盖投标人鲜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5）电路保护系统模块内置告警扬声器≥1个，具有系统、网络、入网、RS485状态指示灯，告警方式支持本机扬声器告警、手机微信和短信告警、管理平台告警；（提供国家认可的具有CNAS或CMA标识包含检测结果的检测报告及全国认证认可信息公共服务平台“检验检测报告编号查询”截图并加盖投标人鲜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电路保护系统模块支持联动保护，对过流、过载、过压、欠压、设备漏电、接地失效、环境指标超标可按需启用联动保护功能。提供国家认可的具有CNAS或CMA标识包含检测结果的检测报告及全国认证认可信息公共服务平台“检验检测报告编号查询”截图并加盖投标人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电路保护系统模块为便于运维管理和节能管控，电路保护系统模块可通过设备端每路输出插座的物理控制按键可单独控制每路输出插座的开和关，同时管理平台端和手机微信公众号端均可远程按需管控每路输出插座的开和关以及定时开和关，并支持级联控制功能，级联数量无限制。提供国家认可的具有CNAS或CMA标识包含检测结果的检测报告及全国认证认可信息公共服务平台“检验检测报告编号查询”截图并加盖投标人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8）电路保护系统模块为便于运维巡检人员对监测内容排查的全面性以及发现问题可第一时间通知维保单位，电路保护系统模块的显示屏要求屏显内容包括：电压、电流、功率、每路输出插座的电流和功率、防雷器状态、雷击浪涌次数、防雷器温度、防雷器寿命、接地通断、漏电监测、漏电流、温湿度、烟雾、水浸、告警信息、安装单位、联系人、联系电话。提供国家认可的具有CNAS或CMA标识包含检测结果的检测报告及全国认证认可信息公共服务平台“检验检测报告编号查询”截图并加盖投标人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电路保护系统模块为防止因雷击、浪涌、环境等问题给设备造成损坏、干扰、寿命缩短，电路保护系统模块要求支持的监测诊断功能包括：防雷器状态、雷击浪涌次数、防雷器温度、防雷器寿命、接地通断、设备漏电和漏电流、温度、湿度、烟雾、水浸监测。提供国家认可的具有CNAS或CMA标识包含检测结果的检测报告及全国认证认可信息公共服务平台“检验检测报告编号查询”截图并加盖投标人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电路保护系统模块为保障设备供电稳定性，电路保护系统模块要求支持供电BYPASS功能，即使本机系统出现问题或者系统重启也不影响正常输出供电。提供国家认可的具有CNAS或CMA标识包含检测结果的检测报告及全国认证认可信息公共服务平台“检验检测报告编号查询”截图并加盖投标人公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支持一个存储池同时兼容多种CPU架构（如intel、鲲鹏、海光等），未来升级至信创架构环境，存储平台可以平滑升级，实现已有PACS数据无需迁移，通过存储平台底层重平衡快速完成信创架构升级并最大化降低对PACS业务系统的影响。</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系统盘故障，完成系统盘更换并重装系统后，只重构系统盘故障期间的差异数据，不用全量重构，快速恢复数据安全至健康状态，减少恢复时间，最大化降低对PACS业务数据读写的性能和安全影响。</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副本或EC策略后，混闪池文件存储提供≥86TB可用容量（已扣除磁盘损耗约10%），全闪池块存储提供≥27TB可用容量（已扣除磁盘损耗约10%），并且允许跨节点同时故障2块HDD无数据丢失风险；跨节点任意2块SSD缓存盘同时出现故障时不会导致其他数据盘出现读写故障，数据盘无需数据重建。</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★可自定义设定数据恢复的带宽范围规则，根据业务压力自适应调整数据恢复带宽（无需人工干预），最小化对业务的影响。须提供产品功能截图并加盖投标人鲜章。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支持后续扩容可以灵活选择不同品牌、不同CPU架构的硬件设备，不受市场供货及政策变化影响；硬件生命周期到期后，软件部分可以继续使用，不绑定硬件。</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在线实时读写数据时，在线检测数据错误，实时发现静默错误，对业务无影响；亚健康功能可以保障存储性能持续、稳定，提供磁盘亚健康，可以即时检测告警、自动隔离并可解除隔离；提供网络亚健康，可以识别网络丢包、延迟异常，实现网络亚健康告警及网络端口切换。</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★为保障海量规模数据的性能稳定和安全性，支持文件存储整池扩容方式，现有数据无需重平衡，扩容过程业务无感知，最大化降低对前端业务系统的影响。须提供产品功能截图并加盖投标人鲜章。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支持任意目录级的目录开启或关闭回收站功能，自定义保留周期，当发生误操作或数据删除时，可以通过回收站恢复数据；文件存储支持自定义策略，以用户或文件维度自动匹配策略写入不同性能等级的存储池。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提供WORM特性，可以自定义设置锁定时间策略，保障文件写入完成后，在锁定时间内未被修改自动进入WORM状态，文件不能修改或删除，满足关键业务文件信息安全以及法规遵从的要求。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配置记录客户端/用户对于整个文件系统的操作日志，包含创建/删除/重命名文件、打开/关闭/读取/写入文件、修改权限等操作记录，提升安全合规。</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★提供iSCSI、RBD、NFS、SMB、FTP、FTPS、HDFS、S3存储访问协议，支持文件、大数据、对象协议互通并访问同一份数据。须提供产品功能截图并加盖投标人鲜章。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提供图形化显示文件系统的数据读写OPS、延迟、数据带宽和IO大小性能监控；图形化显示数据预读取OPS、带宽、命中率等指标。须提供产品功能截图并加盖投标人鲜章。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提供PACS场景性能优化策略，按目录启用、生效，在业务科室对病人影像读取时，存储系统基于文件特征信息可将同一个病人的影像自动加载到高性能缓存，提升小文件影像的读取速度；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 xml:space="preserve">文件系统统一命名空间，支持100亿+文件，且性能稳定，支持100PB+的容量。 </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★存储设备具备2-6副本，具备在线调整副本数的功能；EC在线升级提升数据安全，随着未来扩容至≥6节点时可以提供EC 4+2:1在线升级至EC 4+2，现有数据无需迁移；块和文件存储复用同一个存储池，提升硬件和存储利用率。须提供产品功能截图并加盖投标人鲜章。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★存储设备具备多级故障域功能，在线升级故障域功能，从节点升级到机架，机房，支持双活数据中心；支持块、文件存储双活，提升数据安全保护等级。须提供产品功能截图并加盖投标人鲜章。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★存储设备具备提供数据加密功能，数据落盘时加密，提升数据安全保护能力。须提供产品功能截图并加盖投标人鲜章。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★提供存储池数据压缩，界面可显示压缩比，可自定义选择及在线修改压缩算法，如lz4、snappy、zlib、zstd等，须提供产品功能截图并加盖投标人鲜章。</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整套设备（含软）提供不低于3年原厂质保。</w:t>
      </w:r>
    </w:p>
    <w:p>
      <w:pPr>
        <w:pStyle w:val="35"/>
        <w:keepNext w:val="0"/>
        <w:keepLines w:val="0"/>
        <w:pageBreakBefore w:val="0"/>
        <w:numPr>
          <w:ilvl w:val="0"/>
          <w:numId w:val="0"/>
        </w:numPr>
        <w:kinsoku/>
        <w:wordWrap/>
        <w:overflowPunct/>
        <w:topLinePunct w:val="0"/>
        <w:autoSpaceDE/>
        <w:autoSpaceDN/>
        <w:bidi w:val="0"/>
        <w:spacing w:line="0" w:lineRule="atLeast"/>
        <w:jc w:val="left"/>
        <w:rPr>
          <w:rFonts w:hint="default" w:ascii="Times New Roman" w:hAnsi="Times New Roman" w:eastAsia="方正仿宋_GBK" w:cs="Times New Roman"/>
          <w:kern w:val="2"/>
          <w:sz w:val="24"/>
          <w:szCs w:val="24"/>
          <w:lang w:val="en-US" w:eastAsia="zh-CN" w:bidi="ar-SA"/>
        </w:rPr>
      </w:pPr>
    </w:p>
    <w:p>
      <w:pPr>
        <w:pStyle w:val="35"/>
        <w:keepNext w:val="0"/>
        <w:keepLines w:val="0"/>
        <w:pageBreakBefore w:val="0"/>
        <w:numPr>
          <w:ilvl w:val="0"/>
          <w:numId w:val="0"/>
        </w:numPr>
        <w:kinsoku/>
        <w:wordWrap/>
        <w:overflowPunct/>
        <w:topLinePunct w:val="0"/>
        <w:autoSpaceDE/>
        <w:autoSpaceDN/>
        <w:bidi w:val="0"/>
        <w:spacing w:line="0" w:lineRule="atLeast"/>
        <w:jc w:val="left"/>
        <w:rPr>
          <w:rFonts w:hint="default" w:ascii="Times New Roman" w:hAnsi="Times New Roman" w:eastAsia="方正仿宋_GBK" w:cs="Times New Roman"/>
          <w:b/>
          <w:bCs/>
          <w:kern w:val="2"/>
          <w:sz w:val="24"/>
          <w:szCs w:val="24"/>
          <w:lang w:val="en-US" w:eastAsia="zh-CN" w:bidi="ar-SA"/>
        </w:rPr>
      </w:pPr>
      <w:r>
        <w:rPr>
          <w:rFonts w:hint="eastAsia" w:ascii="Times New Roman" w:hAnsi="Times New Roman" w:eastAsia="方正仿宋_GBK" w:cs="Times New Roman"/>
          <w:b/>
          <w:bCs/>
          <w:kern w:val="2"/>
          <w:sz w:val="24"/>
          <w:szCs w:val="24"/>
          <w:lang w:val="en-US" w:eastAsia="zh-CN" w:bidi="ar-SA"/>
        </w:rPr>
        <w:t>三、</w:t>
      </w:r>
      <w:r>
        <w:rPr>
          <w:rFonts w:hint="default" w:ascii="Times New Roman" w:hAnsi="Times New Roman" w:eastAsia="方正仿宋_GBK" w:cs="Times New Roman"/>
          <w:b/>
          <w:bCs/>
          <w:kern w:val="2"/>
          <w:sz w:val="24"/>
          <w:szCs w:val="24"/>
          <w:lang w:val="en-US" w:eastAsia="zh-CN" w:bidi="ar-SA"/>
        </w:rPr>
        <w:t>特殊要求及说明：</w:t>
      </w:r>
    </w:p>
    <w:p>
      <w:pPr>
        <w:pStyle w:val="35"/>
        <w:keepNext w:val="0"/>
        <w:keepLines w:val="0"/>
        <w:pageBreakBefore w:val="0"/>
        <w:numPr>
          <w:ilvl w:val="0"/>
          <w:numId w:val="0"/>
        </w:numPr>
        <w:kinsoku/>
        <w:wordWrap/>
        <w:overflowPunct/>
        <w:topLinePunct w:val="0"/>
        <w:autoSpaceDE/>
        <w:autoSpaceDN/>
        <w:bidi w:val="0"/>
        <w:spacing w:line="0" w:lineRule="atLeast"/>
        <w:ind w:firstLine="240" w:firstLineChars="100"/>
        <w:jc w:val="left"/>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无</w:t>
      </w:r>
    </w:p>
    <w:p>
      <w:pPr>
        <w:pStyle w:val="35"/>
        <w:keepNext w:val="0"/>
        <w:keepLines w:val="0"/>
        <w:pageBreakBefore w:val="0"/>
        <w:numPr>
          <w:ilvl w:val="0"/>
          <w:numId w:val="0"/>
        </w:numPr>
        <w:kinsoku/>
        <w:wordWrap/>
        <w:overflowPunct/>
        <w:topLinePunct w:val="0"/>
        <w:autoSpaceDE/>
        <w:autoSpaceDN/>
        <w:bidi w:val="0"/>
        <w:spacing w:line="0" w:lineRule="atLeast"/>
        <w:ind w:firstLine="480" w:firstLineChars="200"/>
        <w:jc w:val="left"/>
        <w:rPr>
          <w:rFonts w:hint="default" w:ascii="Times New Roman" w:hAnsi="Times New Roman" w:eastAsia="方正仿宋_GBK" w:cs="Times New Roman"/>
          <w:kern w:val="2"/>
          <w:sz w:val="24"/>
          <w:szCs w:val="24"/>
          <w:lang w:val="en-US" w:eastAsia="zh-CN" w:bidi="ar-SA"/>
        </w:rPr>
      </w:pPr>
    </w:p>
    <w:p>
      <w:pPr>
        <w:pStyle w:val="4"/>
        <w:spacing w:before="0" w:after="0" w:line="360" w:lineRule="auto"/>
        <w:jc w:val="center"/>
        <w:rPr>
          <w:rFonts w:hint="default" w:ascii="Times New Roman" w:hAnsi="Times New Roman" w:eastAsia="方正仿宋_GBK" w:cs="Times New Roman"/>
          <w:kern w:val="2"/>
          <w:sz w:val="24"/>
          <w:szCs w:val="24"/>
          <w:lang w:val="en-US" w:eastAsia="zh-CN" w:bidi="ar-SA"/>
        </w:rPr>
      </w:pPr>
    </w:p>
    <w:p>
      <w:pPr>
        <w:pStyle w:val="4"/>
        <w:spacing w:before="0" w:after="0" w:line="360" w:lineRule="auto"/>
        <w:jc w:val="both"/>
        <w:rPr>
          <w:rFonts w:hint="default" w:ascii="Times New Roman" w:hAnsi="Times New Roman" w:eastAsia="方正小标宋_GBK" w:cs="Times New Roman"/>
          <w:b w:val="0"/>
          <w:sz w:val="36"/>
          <w:szCs w:val="30"/>
        </w:rPr>
      </w:pPr>
    </w:p>
    <w:p>
      <w:pPr>
        <w:rPr>
          <w:rFonts w:hint="default"/>
        </w:rPr>
      </w:pPr>
    </w:p>
    <w:p>
      <w:pPr>
        <w:rPr>
          <w:rFonts w:hint="default" w:ascii="Times New Roman" w:hAnsi="Times New Roman" w:eastAsia="方正小标宋_GBK" w:cs="Times New Roman"/>
          <w:b/>
          <w:sz w:val="36"/>
          <w:szCs w:val="30"/>
        </w:rPr>
      </w:pPr>
    </w:p>
    <w:p>
      <w:pPr>
        <w:pStyle w:val="4"/>
        <w:spacing w:before="0" w:after="0" w:line="360" w:lineRule="auto"/>
        <w:jc w:val="center"/>
        <w:rPr>
          <w:rFonts w:hint="default" w:ascii="Times New Roman" w:hAnsi="Times New Roman" w:eastAsia="方正小标宋_GBK" w:cs="Times New Roman"/>
          <w:b/>
          <w:sz w:val="36"/>
          <w:szCs w:val="30"/>
        </w:rPr>
      </w:pPr>
      <w:r>
        <w:rPr>
          <w:rFonts w:hint="eastAsia" w:ascii="Times New Roman" w:hAnsi="Times New Roman" w:eastAsia="方正小标宋_GBK" w:cs="Times New Roman"/>
          <w:b/>
          <w:sz w:val="36"/>
          <w:szCs w:val="30"/>
          <w:lang w:val="en-US" w:eastAsia="zh-CN"/>
        </w:rPr>
        <w:t>第三篇</w:t>
      </w:r>
      <w:r>
        <w:rPr>
          <w:rFonts w:hint="default" w:ascii="Times New Roman" w:hAnsi="Times New Roman" w:eastAsia="方正小标宋_GBK" w:cs="Times New Roman"/>
          <w:b/>
          <w:sz w:val="36"/>
          <w:szCs w:val="30"/>
        </w:rPr>
        <w:t xml:space="preserve"> </w:t>
      </w:r>
      <w:bookmarkEnd w:id="184"/>
      <w:r>
        <w:rPr>
          <w:rFonts w:hint="eastAsia" w:ascii="Times New Roman" w:hAnsi="Times New Roman" w:eastAsia="方正小标宋_GBK" w:cs="Times New Roman"/>
          <w:b/>
          <w:sz w:val="36"/>
          <w:szCs w:val="30"/>
          <w:lang w:eastAsia="zh-CN"/>
        </w:rPr>
        <w:t>磋商</w:t>
      </w:r>
      <w:r>
        <w:rPr>
          <w:rFonts w:hint="default" w:ascii="Times New Roman" w:hAnsi="Times New Roman" w:eastAsia="方正小标宋_GBK" w:cs="Times New Roman"/>
          <w:b/>
          <w:sz w:val="36"/>
          <w:szCs w:val="30"/>
        </w:rPr>
        <w:t>项目</w:t>
      </w:r>
      <w:bookmarkEnd w:id="186"/>
      <w:bookmarkEnd w:id="187"/>
      <w:bookmarkEnd w:id="188"/>
      <w:bookmarkEnd w:id="189"/>
      <w:r>
        <w:rPr>
          <w:rFonts w:hint="default" w:ascii="Times New Roman" w:hAnsi="Times New Roman" w:eastAsia="方正小标宋_GBK" w:cs="Times New Roman"/>
          <w:b/>
          <w:sz w:val="36"/>
          <w:szCs w:val="30"/>
          <w:lang w:val="en-US" w:eastAsia="zh-CN"/>
        </w:rPr>
        <w:t>商务</w:t>
      </w:r>
      <w:r>
        <w:rPr>
          <w:rFonts w:hint="default" w:ascii="Times New Roman" w:hAnsi="Times New Roman" w:eastAsia="方正小标宋_GBK" w:cs="Times New Roman"/>
          <w:b/>
          <w:sz w:val="36"/>
          <w:szCs w:val="30"/>
        </w:rPr>
        <w:t>需求</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5" w:name="_Toc25689"/>
      <w:bookmarkStart w:id="206" w:name="_Toc2323"/>
      <w:bookmarkStart w:id="207" w:name="_Toc31282"/>
      <w:bookmarkStart w:id="208" w:name="_Toc25952"/>
      <w:bookmarkStart w:id="209" w:name="_Toc27707"/>
      <w:bookmarkStart w:id="210" w:name="_Toc106034789"/>
      <w:bookmarkStart w:id="211" w:name="_Toc24195"/>
      <w:bookmarkStart w:id="212" w:name="_Toc29746"/>
      <w:bookmarkStart w:id="213" w:name="_Toc26248"/>
      <w:bookmarkStart w:id="214" w:name="_Toc19019"/>
      <w:bookmarkStart w:id="215" w:name="_Toc27001"/>
      <w:bookmarkStart w:id="216" w:name="_Toc9090"/>
      <w:bookmarkStart w:id="217" w:name="_Toc30209"/>
      <w:bookmarkStart w:id="218" w:name="_Toc65660349"/>
      <w:bookmarkStart w:id="219" w:name="_Toc10183"/>
      <w:bookmarkStart w:id="220" w:name="_Toc1541"/>
      <w:bookmarkStart w:id="221" w:name="_Toc11396"/>
      <w:bookmarkStart w:id="222" w:name="_Toc23346"/>
      <w:bookmarkStart w:id="223" w:name="_Toc16123"/>
      <w:bookmarkStart w:id="224" w:name="_Toc342913389"/>
    </w:p>
    <w:bookmarkEnd w:id="205"/>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Hans"/>
        </w:rPr>
      </w:pPr>
      <w:r>
        <w:rPr>
          <w:rFonts w:hint="default" w:ascii="Times New Roman" w:hAnsi="Times New Roman" w:eastAsia="方正黑体_GBK" w:cs="Times New Roman"/>
          <w:sz w:val="24"/>
          <w:szCs w:val="24"/>
          <w:lang w:val="en-US" w:eastAsia="zh-CN"/>
        </w:rPr>
        <w:t>一、实施时间、实施地点及验收方式</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（一）实施时间</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应在合同签订后5个日历日内完成到货，7个日历日内完成安装部署。</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（二）实施地点</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重庆市第七人民医院。</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（三）验收标准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项目实施完毕后，设备平稳试运行一个月</w:t>
      </w:r>
      <w:r>
        <w:rPr>
          <w:rFonts w:hint="default" w:ascii="Times New Roman" w:hAnsi="Times New Roman" w:eastAsia="方正仿宋_GBK" w:cs="Times New Roman"/>
          <w:sz w:val="24"/>
          <w:szCs w:val="24"/>
          <w:lang w:val="en-US" w:eastAsia="zh-CN"/>
        </w:rPr>
        <w:t>，由</w:t>
      </w:r>
      <w:r>
        <w:rPr>
          <w:rFonts w:hint="eastAsia"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lang w:val="en-US" w:eastAsia="zh-CN"/>
        </w:rPr>
        <w:t>组织按</w:t>
      </w:r>
      <w:r>
        <w:rPr>
          <w:rFonts w:hint="eastAsia" w:ascii="Times New Roman" w:hAnsi="Times New Roman" w:eastAsia="方正仿宋_GBK" w:cs="Times New Roman"/>
          <w:sz w:val="24"/>
          <w:szCs w:val="24"/>
          <w:lang w:val="en-US" w:eastAsia="zh-CN"/>
        </w:rPr>
        <w:t>技术参数</w:t>
      </w:r>
      <w:r>
        <w:rPr>
          <w:rFonts w:hint="default" w:ascii="Times New Roman" w:hAnsi="Times New Roman" w:eastAsia="方正仿宋_GBK" w:cs="Times New Roman"/>
          <w:sz w:val="24"/>
          <w:szCs w:val="24"/>
          <w:lang w:val="en-US" w:eastAsia="zh-CN"/>
        </w:rPr>
        <w:t>进行验收</w:t>
      </w:r>
      <w:r>
        <w:rPr>
          <w:rFonts w:hint="eastAsia" w:ascii="Times New Roman" w:hAnsi="Times New Roman" w:eastAsia="方正仿宋_GBK" w:cs="Times New Roman"/>
          <w:sz w:val="24"/>
          <w:szCs w:val="24"/>
          <w:lang w:val="en-US" w:eastAsia="zh-CN"/>
        </w:rPr>
        <w:t>，以采购人出具的验收报告视为最终验收</w:t>
      </w:r>
      <w:r>
        <w:rPr>
          <w:rFonts w:hint="default" w:ascii="Times New Roman" w:hAnsi="Times New Roman" w:eastAsia="方正仿宋_GBK"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严格按照政府采购相关法律法规以及《财政部关于进一步加强政府采购需求和履约验收管理的指导意见》（财库〔2016〕205）的要求进行验收。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二、最高限价及报价要求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.项目最高限价￥4</w:t>
      </w:r>
      <w:r>
        <w:rPr>
          <w:rFonts w:hint="eastAsia" w:ascii="Times New Roman" w:hAnsi="Times New Roman" w:eastAsia="方正仿宋_GBK" w:cs="Times New Roman"/>
          <w:sz w:val="24"/>
          <w:szCs w:val="24"/>
          <w:lang w:val="en-US" w:eastAsia="zh-CN"/>
        </w:rPr>
        <w:t>8.3万</w:t>
      </w:r>
      <w:r>
        <w:rPr>
          <w:rFonts w:hint="default" w:ascii="Times New Roman" w:hAnsi="Times New Roman" w:eastAsia="方正仿宋_GBK" w:cs="Times New Roman"/>
          <w:sz w:val="24"/>
          <w:szCs w:val="24"/>
          <w:lang w:val="en-US" w:eastAsia="zh-CN"/>
        </w:rPr>
        <w:t>元（大写：</w:t>
      </w:r>
      <w:r>
        <w:rPr>
          <w:rFonts w:hint="eastAsia" w:ascii="Times New Roman" w:hAnsi="Times New Roman" w:eastAsia="方正仿宋_GBK" w:cs="Times New Roman"/>
          <w:sz w:val="24"/>
          <w:szCs w:val="24"/>
          <w:lang w:val="en-US" w:eastAsia="zh-CN"/>
        </w:rPr>
        <w:t>肆拾捌</w:t>
      </w:r>
      <w:r>
        <w:rPr>
          <w:rFonts w:hint="default" w:ascii="Times New Roman" w:hAnsi="Times New Roman" w:eastAsia="方正仿宋_GBK" w:cs="Times New Roman"/>
          <w:sz w:val="24"/>
          <w:szCs w:val="24"/>
          <w:lang w:val="en-US" w:eastAsia="zh-CN"/>
        </w:rPr>
        <w:t>万</w:t>
      </w:r>
      <w:r>
        <w:rPr>
          <w:rFonts w:hint="eastAsia" w:ascii="Times New Roman" w:hAnsi="Times New Roman" w:eastAsia="方正仿宋_GBK" w:cs="Times New Roman"/>
          <w:sz w:val="24"/>
          <w:szCs w:val="24"/>
          <w:lang w:val="en-US" w:eastAsia="zh-CN"/>
        </w:rPr>
        <w:t>叁仟</w:t>
      </w:r>
      <w:r>
        <w:rPr>
          <w:rFonts w:hint="default" w:ascii="Times New Roman" w:hAnsi="Times New Roman" w:eastAsia="方正仿宋_GBK" w:cs="Times New Roman"/>
          <w:sz w:val="24"/>
          <w:szCs w:val="24"/>
          <w:lang w:val="en-US" w:eastAsia="zh-CN"/>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2.本次报价须为人民币报价，包含：产品基价、税费（含关税）</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差旅费、安装调试、授权、硬件对接</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技术培训、质保期内的免费维护等完成本项目所需的一切费用。因成交供应商自身原因造成漏报、少报皆由其自行承担责任</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采购人不再补偿任何费用。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三、质保及售后服务要求</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eastAsia" w:ascii="Times New Roman" w:hAnsi="Times New Roman" w:eastAsia="方正仿宋_GBK" w:cs="Times New Roman"/>
          <w:kern w:val="2"/>
          <w:sz w:val="24"/>
          <w:szCs w:val="24"/>
          <w:lang w:val="en-US" w:eastAsia="zh-CN" w:bidi="ar-SA"/>
        </w:rPr>
        <w:t>软硬件提供三</w:t>
      </w:r>
      <w:r>
        <w:rPr>
          <w:rFonts w:hint="default" w:ascii="Times New Roman" w:hAnsi="Times New Roman" w:eastAsia="方正仿宋_GBK" w:cs="Times New Roman"/>
          <w:kern w:val="2"/>
          <w:sz w:val="24"/>
          <w:szCs w:val="24"/>
          <w:lang w:val="en-US" w:eastAsia="zh-CN" w:bidi="ar-SA"/>
        </w:rPr>
        <w:t>年</w:t>
      </w:r>
      <w:r>
        <w:rPr>
          <w:rFonts w:hint="eastAsia" w:ascii="Times New Roman" w:hAnsi="Times New Roman" w:eastAsia="方正仿宋_GBK" w:cs="Times New Roman"/>
          <w:kern w:val="2"/>
          <w:sz w:val="24"/>
          <w:szCs w:val="24"/>
          <w:lang w:val="en-US" w:eastAsia="zh-CN" w:bidi="ar-SA"/>
        </w:rPr>
        <w:t>原厂质保服务，需</w:t>
      </w:r>
      <w:r>
        <w:rPr>
          <w:rFonts w:hint="default" w:ascii="Times New Roman" w:hAnsi="Times New Roman" w:eastAsia="方正仿宋_GBK" w:cs="Times New Roman"/>
          <w:kern w:val="2"/>
          <w:sz w:val="24"/>
          <w:szCs w:val="24"/>
          <w:lang w:val="en-US" w:eastAsia="zh-CN" w:bidi="ar-SA"/>
        </w:rPr>
        <w:t>提供原厂质保证明材料。</w:t>
      </w:r>
      <w:r>
        <w:rPr>
          <w:rFonts w:hint="eastAsia" w:ascii="Times New Roman" w:hAnsi="Times New Roman" w:eastAsia="方正仿宋_GBK" w:cs="Times New Roman"/>
          <w:kern w:val="2"/>
          <w:sz w:val="24"/>
          <w:szCs w:val="24"/>
          <w:lang w:val="en-US" w:eastAsia="zh-CN" w:bidi="ar-SA"/>
        </w:rPr>
        <w:t>质保期自项目验收通过一日后起算</w:t>
      </w:r>
      <w:r>
        <w:rPr>
          <w:rFonts w:hint="default" w:ascii="Times New Roman" w:hAnsi="Times New Roman" w:eastAsia="方正仿宋_GBK" w:cs="Times New Roman"/>
          <w:kern w:val="2"/>
          <w:sz w:val="24"/>
          <w:szCs w:val="24"/>
          <w:lang w:val="en-US" w:eastAsia="zh-CN" w:bidi="ar-SA"/>
        </w:rPr>
        <w:t>。</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w:t>
      </w:r>
      <w:r>
        <w:rPr>
          <w:rFonts w:hint="default" w:ascii="Times New Roman" w:hAnsi="Times New Roman" w:eastAsia="方正仿宋_GBK" w:cs="Times New Roman"/>
          <w:color w:val="auto"/>
          <w:kern w:val="2"/>
          <w:sz w:val="24"/>
          <w:szCs w:val="24"/>
          <w:lang w:val="en-US" w:eastAsia="zh-CN" w:bidi="ar-SA"/>
        </w:rPr>
        <w:t>.</w:t>
      </w:r>
      <w:r>
        <w:rPr>
          <w:rFonts w:hint="eastAsia" w:ascii="Times New Roman" w:hAnsi="Times New Roman" w:eastAsia="方正仿宋_GBK" w:cs="Times New Roman"/>
          <w:color w:val="auto"/>
          <w:kern w:val="2"/>
          <w:sz w:val="24"/>
          <w:szCs w:val="24"/>
          <w:lang w:val="en-US" w:eastAsia="zh-CN" w:bidi="ar-SA"/>
        </w:rPr>
        <w:t>质保期内应每季度至少开展一次软硬件巡检并提供巡检报告，及时处理巡检发现的问题，保障软硬件稳定运行</w:t>
      </w:r>
      <w:r>
        <w:rPr>
          <w:rFonts w:hint="default" w:ascii="Times New Roman" w:hAnsi="Times New Roman" w:eastAsia="方正仿宋_GBK" w:cs="Times New Roman"/>
          <w:color w:val="auto"/>
          <w:kern w:val="2"/>
          <w:sz w:val="24"/>
          <w:szCs w:val="24"/>
          <w:lang w:val="en-US" w:eastAsia="zh-CN" w:bidi="ar-SA"/>
        </w:rPr>
        <w:t>。质保期限内的所有硬件因质量问题出现故障或不合格部分均由</w:t>
      </w:r>
      <w:r>
        <w:rPr>
          <w:rFonts w:hint="eastAsia" w:ascii="Times New Roman" w:hAnsi="Times New Roman" w:eastAsia="方正仿宋_GBK" w:cs="Times New Roman"/>
          <w:color w:val="auto"/>
          <w:kern w:val="2"/>
          <w:sz w:val="24"/>
          <w:szCs w:val="24"/>
          <w:lang w:val="en-US" w:eastAsia="zh-CN" w:bidi="ar-SA"/>
        </w:rPr>
        <w:t>乙方</w:t>
      </w:r>
      <w:r>
        <w:rPr>
          <w:rFonts w:hint="default" w:ascii="Times New Roman" w:hAnsi="Times New Roman" w:eastAsia="方正仿宋_GBK" w:cs="Times New Roman"/>
          <w:color w:val="auto"/>
          <w:kern w:val="2"/>
          <w:sz w:val="24"/>
          <w:szCs w:val="24"/>
          <w:lang w:val="en-US" w:eastAsia="zh-CN" w:bidi="ar-SA"/>
        </w:rPr>
        <w:t>负责修复并承担费用。</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3.质保期内应</w:t>
      </w:r>
      <w:r>
        <w:rPr>
          <w:rFonts w:hint="default" w:ascii="Times New Roman" w:hAnsi="Times New Roman" w:eastAsia="方正仿宋_GBK" w:cs="Times New Roman"/>
          <w:color w:val="auto"/>
          <w:kern w:val="2"/>
          <w:sz w:val="24"/>
          <w:szCs w:val="24"/>
          <w:lang w:val="en-US" w:eastAsia="zh-CN" w:bidi="ar-SA"/>
        </w:rPr>
        <w:t>保证7×24小时的维</w:t>
      </w:r>
      <w:r>
        <w:rPr>
          <w:rFonts w:hint="default" w:ascii="Times New Roman" w:hAnsi="Times New Roman" w:eastAsia="方正仿宋_GBK" w:cs="Times New Roman"/>
          <w:kern w:val="2"/>
          <w:sz w:val="24"/>
          <w:szCs w:val="24"/>
          <w:lang w:val="en-US" w:eastAsia="zh-CN" w:bidi="ar-SA"/>
        </w:rPr>
        <w:t>护响应</w:t>
      </w:r>
      <w:r>
        <w:rPr>
          <w:rFonts w:hint="eastAsia" w:ascii="Times New Roman" w:hAnsi="Times New Roman" w:eastAsia="方正仿宋_GBK" w:cs="Times New Roman"/>
          <w:kern w:val="2"/>
          <w:sz w:val="24"/>
          <w:szCs w:val="24"/>
          <w:lang w:val="en-US" w:eastAsia="zh-CN" w:bidi="ar-SA"/>
        </w:rPr>
        <w:t>和技术服务支持</w:t>
      </w:r>
      <w:r>
        <w:rPr>
          <w:rFonts w:hint="default" w:ascii="Times New Roman" w:hAnsi="Times New Roman" w:eastAsia="方正仿宋_GBK" w:cs="Times New Roman"/>
          <w:kern w:val="2"/>
          <w:sz w:val="24"/>
          <w:szCs w:val="24"/>
          <w:lang w:val="en-US" w:eastAsia="zh-CN" w:bidi="ar-SA"/>
        </w:rPr>
        <w:t>。故障</w:t>
      </w:r>
      <w:r>
        <w:rPr>
          <w:rFonts w:hint="eastAsia" w:ascii="Times New Roman" w:hAnsi="Times New Roman" w:eastAsia="方正仿宋_GBK" w:cs="Times New Roman"/>
          <w:kern w:val="2"/>
          <w:sz w:val="24"/>
          <w:szCs w:val="24"/>
          <w:lang w:val="en-US" w:eastAsia="zh-CN" w:bidi="ar-SA"/>
        </w:rPr>
        <w:t>处理</w:t>
      </w:r>
      <w:r>
        <w:rPr>
          <w:rFonts w:hint="default" w:ascii="Times New Roman" w:hAnsi="Times New Roman" w:eastAsia="方正仿宋_GBK" w:cs="Times New Roman"/>
          <w:kern w:val="2"/>
          <w:sz w:val="24"/>
          <w:szCs w:val="24"/>
          <w:lang w:val="en-US" w:eastAsia="zh-CN" w:bidi="ar-SA"/>
        </w:rPr>
        <w:t>的响应时间</w:t>
      </w:r>
      <w:r>
        <w:rPr>
          <w:rFonts w:hint="eastAsia" w:ascii="Times New Roman" w:hAnsi="Times New Roman" w:eastAsia="方正仿宋_GBK" w:cs="Times New Roman"/>
          <w:kern w:val="2"/>
          <w:sz w:val="24"/>
          <w:szCs w:val="24"/>
          <w:lang w:val="en-US" w:eastAsia="zh-CN" w:bidi="ar-SA"/>
        </w:rPr>
        <w:t>应在30</w:t>
      </w:r>
      <w:r>
        <w:rPr>
          <w:rFonts w:hint="default" w:ascii="Times New Roman" w:hAnsi="Times New Roman" w:eastAsia="方正仿宋_GBK" w:cs="Times New Roman"/>
          <w:kern w:val="2"/>
          <w:sz w:val="24"/>
          <w:szCs w:val="24"/>
          <w:lang w:val="en-US" w:eastAsia="zh-CN" w:bidi="ar-SA"/>
        </w:rPr>
        <w:t>分钟</w:t>
      </w:r>
      <w:r>
        <w:rPr>
          <w:rFonts w:hint="eastAsia" w:ascii="Times New Roman" w:hAnsi="Times New Roman" w:eastAsia="方正仿宋_GBK" w:cs="Times New Roman"/>
          <w:kern w:val="2"/>
          <w:sz w:val="24"/>
          <w:szCs w:val="24"/>
          <w:lang w:val="en-US" w:eastAsia="zh-CN" w:bidi="ar-SA"/>
        </w:rPr>
        <w:t>内，乙方应在接到甲方问题反馈2小时</w:t>
      </w:r>
      <w:r>
        <w:rPr>
          <w:rFonts w:hint="default" w:ascii="Times New Roman" w:hAnsi="Times New Roman" w:eastAsia="方正仿宋_GBK" w:cs="Times New Roman"/>
          <w:kern w:val="2"/>
          <w:sz w:val="24"/>
          <w:szCs w:val="24"/>
          <w:lang w:val="en-US" w:eastAsia="zh-CN" w:bidi="ar-SA"/>
        </w:rPr>
        <w:t>内完成故障处理工作</w:t>
      </w:r>
      <w:r>
        <w:rPr>
          <w:rFonts w:hint="eastAsia" w:ascii="Times New Roman" w:hAnsi="Times New Roman" w:eastAsia="方正仿宋_GBK" w:cs="Times New Roman"/>
          <w:kern w:val="2"/>
          <w:sz w:val="24"/>
          <w:szCs w:val="24"/>
          <w:lang w:val="en-US" w:eastAsia="zh-CN" w:bidi="ar-SA"/>
        </w:rPr>
        <w:t>。对于</w:t>
      </w:r>
      <w:r>
        <w:rPr>
          <w:rFonts w:hint="default" w:ascii="Times New Roman" w:hAnsi="Times New Roman" w:eastAsia="方正仿宋_GBK" w:cs="Times New Roman"/>
          <w:kern w:val="2"/>
          <w:sz w:val="24"/>
          <w:szCs w:val="24"/>
          <w:lang w:val="en-US" w:eastAsia="zh-CN" w:bidi="ar-SA"/>
        </w:rPr>
        <w:t>电话、网络指导下无法解决</w:t>
      </w:r>
      <w:r>
        <w:rPr>
          <w:rFonts w:hint="eastAsia" w:ascii="Times New Roman" w:hAnsi="Times New Roman" w:eastAsia="方正仿宋_GBK" w:cs="Times New Roman"/>
          <w:kern w:val="2"/>
          <w:sz w:val="24"/>
          <w:szCs w:val="24"/>
          <w:lang w:val="en-US" w:eastAsia="zh-CN" w:bidi="ar-SA"/>
        </w:rPr>
        <w:t>的</w:t>
      </w: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供应商应在12小时内安排技术</w:t>
      </w:r>
      <w:r>
        <w:rPr>
          <w:rFonts w:hint="default" w:ascii="Times New Roman" w:hAnsi="Times New Roman" w:eastAsia="方正仿宋_GBK" w:cs="Times New Roman"/>
          <w:kern w:val="2"/>
          <w:sz w:val="24"/>
          <w:szCs w:val="24"/>
          <w:lang w:val="en-US" w:eastAsia="zh-CN" w:bidi="ar-SA"/>
        </w:rPr>
        <w:t>人员到达约定的地点</w:t>
      </w:r>
      <w:r>
        <w:rPr>
          <w:rFonts w:hint="eastAsia" w:ascii="Times New Roman" w:hAnsi="Times New Roman" w:eastAsia="方正仿宋_GBK" w:cs="Times New Roman"/>
          <w:kern w:val="2"/>
          <w:sz w:val="24"/>
          <w:szCs w:val="24"/>
          <w:lang w:val="en-US" w:eastAsia="zh-CN" w:bidi="ar-SA"/>
        </w:rPr>
        <w:t>进行维修</w:t>
      </w:r>
      <w:r>
        <w:rPr>
          <w:rFonts w:hint="default" w:ascii="Times New Roman" w:hAnsi="Times New Roman" w:eastAsia="方正仿宋_GBK" w:cs="Times New Roman"/>
          <w:kern w:val="2"/>
          <w:sz w:val="24"/>
          <w:szCs w:val="24"/>
          <w:lang w:val="en-US" w:eastAsia="zh-CN" w:bidi="ar-SA"/>
        </w:rPr>
        <w:t>处理</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如需</w:t>
      </w:r>
      <w:r>
        <w:rPr>
          <w:rFonts w:hint="eastAsia" w:ascii="Times New Roman" w:hAnsi="Times New Roman" w:eastAsia="方正仿宋_GBK" w:cs="Times New Roman"/>
          <w:kern w:val="2"/>
          <w:sz w:val="24"/>
          <w:szCs w:val="24"/>
          <w:lang w:val="en-US" w:eastAsia="zh-CN" w:bidi="ar-SA"/>
        </w:rPr>
        <w:t>更换配件的</w:t>
      </w:r>
      <w:r>
        <w:rPr>
          <w:rFonts w:hint="default" w:ascii="Times New Roman" w:hAnsi="Times New Roman" w:eastAsia="方正仿宋_GBK" w:cs="Times New Roman"/>
          <w:kern w:val="2"/>
          <w:sz w:val="24"/>
          <w:szCs w:val="24"/>
          <w:lang w:val="en-US" w:eastAsia="zh-CN" w:bidi="ar-SA"/>
        </w:rPr>
        <w:t>应在24小时内</w:t>
      </w:r>
      <w:r>
        <w:rPr>
          <w:rFonts w:hint="eastAsia" w:ascii="Times New Roman" w:hAnsi="Times New Roman" w:eastAsia="方正仿宋_GBK" w:cs="Times New Roman"/>
          <w:kern w:val="2"/>
          <w:sz w:val="24"/>
          <w:szCs w:val="24"/>
          <w:lang w:val="en-US" w:eastAsia="zh-CN" w:bidi="ar-SA"/>
        </w:rPr>
        <w:t>完成</w:t>
      </w:r>
      <w:r>
        <w:rPr>
          <w:rFonts w:hint="default" w:ascii="Times New Roman" w:hAnsi="Times New Roman" w:eastAsia="方正仿宋_GBK" w:cs="Times New Roman"/>
          <w:kern w:val="2"/>
          <w:sz w:val="24"/>
          <w:szCs w:val="24"/>
          <w:lang w:val="en-US" w:eastAsia="zh-CN" w:bidi="ar-SA"/>
        </w:rPr>
        <w:t>到货</w:t>
      </w:r>
      <w:r>
        <w:rPr>
          <w:rFonts w:hint="eastAsia" w:ascii="Times New Roman" w:hAnsi="Times New Roman" w:eastAsia="方正仿宋_GBK" w:cs="Times New Roman"/>
          <w:kern w:val="2"/>
          <w:sz w:val="24"/>
          <w:szCs w:val="24"/>
          <w:lang w:val="en-US" w:eastAsia="zh-CN" w:bidi="ar-SA"/>
        </w:rPr>
        <w:t>安装；24小时内不能解决的，</w:t>
      </w:r>
      <w:r>
        <w:rPr>
          <w:rFonts w:hint="default" w:ascii="Times New Roman" w:hAnsi="Times New Roman" w:eastAsia="方正仿宋_GBK" w:cs="Times New Roman"/>
          <w:kern w:val="2"/>
          <w:sz w:val="24"/>
          <w:szCs w:val="24"/>
          <w:lang w:val="en-US" w:eastAsia="zh-CN" w:bidi="ar-SA"/>
        </w:rPr>
        <w:t>应在</w:t>
      </w:r>
      <w:r>
        <w:rPr>
          <w:rFonts w:hint="eastAsia" w:ascii="Times New Roman" w:hAnsi="Times New Roman" w:eastAsia="方正仿宋_GBK" w:cs="Times New Roman"/>
          <w:kern w:val="2"/>
          <w:sz w:val="24"/>
          <w:szCs w:val="24"/>
          <w:lang w:val="en-US" w:eastAsia="zh-CN" w:bidi="ar-SA"/>
        </w:rPr>
        <w:t>48</w:t>
      </w:r>
      <w:r>
        <w:rPr>
          <w:rFonts w:hint="default" w:ascii="Times New Roman" w:hAnsi="Times New Roman" w:eastAsia="方正仿宋_GBK" w:cs="Times New Roman"/>
          <w:kern w:val="2"/>
          <w:sz w:val="24"/>
          <w:szCs w:val="24"/>
          <w:lang w:val="en-US" w:eastAsia="zh-CN" w:bidi="ar-SA"/>
        </w:rPr>
        <w:t>小时内提供备用产品，使系统能够正常使用</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特殊情况甲乙双方应尊重当时事实情况商定。</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.采购人在合同签订前保留对中标人提供的产品进行</w:t>
      </w:r>
      <w:r>
        <w:rPr>
          <w:rFonts w:hint="eastAsia" w:ascii="Times New Roman" w:hAnsi="Times New Roman" w:eastAsia="方正仿宋_GBK" w:cs="Times New Roman"/>
          <w:kern w:val="2"/>
          <w:sz w:val="24"/>
          <w:szCs w:val="24"/>
          <w:lang w:val="en-US" w:eastAsia="zh-CN" w:bidi="ar-SA"/>
        </w:rPr>
        <w:t>POC</w:t>
      </w:r>
      <w:r>
        <w:rPr>
          <w:rFonts w:hint="default" w:ascii="Times New Roman" w:hAnsi="Times New Roman" w:eastAsia="方正仿宋_GBK" w:cs="Times New Roman"/>
          <w:kern w:val="2"/>
          <w:sz w:val="24"/>
          <w:szCs w:val="24"/>
          <w:lang w:val="en-US" w:eastAsia="zh-CN" w:bidi="ar-SA"/>
        </w:rPr>
        <w:t>测试（按招标文件中技术相关要求）的权利，若测试不符合，采购人有权不与中标人签订合同。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eastAsia" w:ascii="Times New Roman" w:hAnsi="Times New Roman" w:eastAsia="方正黑体_GBK" w:cs="Times New Roman"/>
          <w:sz w:val="24"/>
          <w:szCs w:val="24"/>
          <w:lang w:val="en-US" w:eastAsia="zh-CN"/>
        </w:rPr>
        <w:t>四</w:t>
      </w:r>
      <w:r>
        <w:rPr>
          <w:rFonts w:hint="default" w:ascii="Times New Roman" w:hAnsi="Times New Roman" w:eastAsia="方正黑体_GBK" w:cs="Times New Roman"/>
          <w:sz w:val="24"/>
          <w:szCs w:val="24"/>
          <w:lang w:val="en-US" w:eastAsia="zh-CN"/>
        </w:rPr>
        <w:t>、付款方式</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kern w:val="2"/>
          <w:sz w:val="24"/>
          <w:szCs w:val="24"/>
          <w:lang w:val="en-US" w:eastAsia="zh-Hans" w:bidi="ar-SA"/>
        </w:rPr>
        <w:t>项目验收完成后，收到供应商符合要求的发票之日起30个工作日内，支付合同金额的</w:t>
      </w:r>
      <w:r>
        <w:rPr>
          <w:rFonts w:hint="eastAsia" w:ascii="Times New Roman" w:hAnsi="Times New Roman" w:eastAsia="方正仿宋_GBK" w:cs="Times New Roman"/>
          <w:kern w:val="2"/>
          <w:sz w:val="24"/>
          <w:szCs w:val="24"/>
          <w:lang w:val="en-US" w:eastAsia="zh-CN" w:bidi="ar-SA"/>
        </w:rPr>
        <w:t>95</w:t>
      </w:r>
      <w:r>
        <w:rPr>
          <w:rFonts w:hint="default" w:ascii="Times New Roman" w:hAnsi="Times New Roman" w:eastAsia="方正仿宋_GBK" w:cs="Times New Roman"/>
          <w:kern w:val="2"/>
          <w:sz w:val="24"/>
          <w:szCs w:val="24"/>
          <w:lang w:val="en-US" w:eastAsia="zh-Hans" w:bidi="ar-SA"/>
        </w:rPr>
        <w:t>%；验收合格满</w:t>
      </w:r>
      <w:r>
        <w:rPr>
          <w:rFonts w:hint="eastAsia" w:ascii="Times New Roman" w:hAnsi="Times New Roman" w:eastAsia="方正仿宋_GBK" w:cs="Times New Roman"/>
          <w:kern w:val="2"/>
          <w:sz w:val="24"/>
          <w:szCs w:val="24"/>
          <w:lang w:val="en-US" w:eastAsia="zh-CN" w:bidi="ar-SA"/>
        </w:rPr>
        <w:t>三</w:t>
      </w:r>
      <w:r>
        <w:rPr>
          <w:rFonts w:hint="default" w:ascii="Times New Roman" w:hAnsi="Times New Roman" w:eastAsia="方正仿宋_GBK" w:cs="Times New Roman"/>
          <w:kern w:val="2"/>
          <w:sz w:val="24"/>
          <w:szCs w:val="24"/>
          <w:lang w:val="en-US" w:eastAsia="zh-Hans" w:bidi="ar-SA"/>
        </w:rPr>
        <w:t>年后支付合同金额的</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Hans" w:bidi="ar-SA"/>
        </w:rPr>
        <w:t>% （供应商垫资不计利息）。</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2.质保</w:t>
      </w:r>
      <w:r>
        <w:rPr>
          <w:rFonts w:hint="default" w:ascii="Times New Roman" w:hAnsi="Times New Roman" w:eastAsia="方正仿宋_GBK" w:cs="Times New Roman"/>
          <w:kern w:val="2"/>
          <w:sz w:val="24"/>
          <w:szCs w:val="24"/>
          <w:lang w:val="en-US" w:eastAsia="zh-Hans" w:bidi="ar-SA"/>
        </w:rPr>
        <w:t>期内，如</w:t>
      </w:r>
      <w:r>
        <w:rPr>
          <w:rFonts w:hint="eastAsia" w:ascii="Times New Roman" w:hAnsi="Times New Roman" w:eastAsia="方正仿宋_GBK" w:cs="Times New Roman"/>
          <w:kern w:val="2"/>
          <w:sz w:val="24"/>
          <w:szCs w:val="24"/>
          <w:lang w:val="en-US" w:eastAsia="zh-CN" w:bidi="ar-SA"/>
        </w:rPr>
        <w:t>供应商</w:t>
      </w:r>
      <w:r>
        <w:rPr>
          <w:rFonts w:hint="default" w:ascii="Times New Roman" w:hAnsi="Times New Roman" w:eastAsia="方正仿宋_GBK" w:cs="Times New Roman"/>
          <w:kern w:val="2"/>
          <w:sz w:val="24"/>
          <w:szCs w:val="24"/>
          <w:lang w:val="en-US" w:eastAsia="zh-Hans" w:bidi="ar-SA"/>
        </w:rPr>
        <w:t>未按约定提供</w:t>
      </w:r>
      <w:r>
        <w:rPr>
          <w:rFonts w:hint="eastAsia" w:ascii="Times New Roman" w:hAnsi="Times New Roman" w:eastAsia="方正仿宋_GBK" w:cs="Times New Roman"/>
          <w:kern w:val="2"/>
          <w:sz w:val="24"/>
          <w:szCs w:val="24"/>
          <w:lang w:val="en-US" w:eastAsia="zh-CN" w:bidi="ar-SA"/>
        </w:rPr>
        <w:t>维护</w:t>
      </w:r>
      <w:r>
        <w:rPr>
          <w:rFonts w:hint="default" w:ascii="Times New Roman" w:hAnsi="Times New Roman" w:eastAsia="方正仿宋_GBK" w:cs="Times New Roman"/>
          <w:kern w:val="2"/>
          <w:sz w:val="24"/>
          <w:szCs w:val="24"/>
          <w:lang w:val="en-US" w:eastAsia="zh-Hans" w:bidi="ar-SA"/>
        </w:rPr>
        <w:t>服务，</w:t>
      </w:r>
      <w:r>
        <w:rPr>
          <w:rFonts w:hint="eastAsia" w:ascii="Times New Roman" w:hAnsi="Times New Roman" w:eastAsia="方正仿宋_GBK" w:cs="Times New Roman"/>
          <w:kern w:val="2"/>
          <w:sz w:val="24"/>
          <w:szCs w:val="24"/>
          <w:lang w:val="en-US" w:eastAsia="zh-CN" w:bidi="ar-SA"/>
        </w:rPr>
        <w:t>采购人</w:t>
      </w:r>
      <w:r>
        <w:rPr>
          <w:rFonts w:hint="default" w:ascii="Times New Roman" w:hAnsi="Times New Roman" w:eastAsia="方正仿宋_GBK" w:cs="Times New Roman"/>
          <w:kern w:val="2"/>
          <w:sz w:val="24"/>
          <w:szCs w:val="24"/>
          <w:lang w:val="en-US" w:eastAsia="zh-Hans" w:bidi="ar-SA"/>
        </w:rPr>
        <w:t>有权拒绝支付</w:t>
      </w:r>
      <w:r>
        <w:rPr>
          <w:rFonts w:hint="eastAsia" w:ascii="Times New Roman" w:hAnsi="Times New Roman" w:eastAsia="方正仿宋_GBK" w:cs="Times New Roman"/>
          <w:kern w:val="2"/>
          <w:sz w:val="24"/>
          <w:szCs w:val="24"/>
          <w:lang w:val="en-US" w:eastAsia="zh-CN" w:bidi="ar-SA"/>
        </w:rPr>
        <w:t>尾款</w:t>
      </w:r>
      <w:r>
        <w:rPr>
          <w:rFonts w:hint="default" w:ascii="Times New Roman" w:hAnsi="Times New Roman" w:eastAsia="方正仿宋_GBK" w:cs="Times New Roman"/>
          <w:kern w:val="2"/>
          <w:sz w:val="24"/>
          <w:szCs w:val="24"/>
          <w:lang w:val="en-US" w:eastAsia="zh-Hans" w:bidi="ar-SA"/>
        </w:rPr>
        <w:t>并且按约定要求</w:t>
      </w:r>
      <w:r>
        <w:rPr>
          <w:rFonts w:hint="eastAsia" w:ascii="Times New Roman" w:hAnsi="Times New Roman" w:eastAsia="方正仿宋_GBK" w:cs="Times New Roman"/>
          <w:kern w:val="2"/>
          <w:sz w:val="24"/>
          <w:szCs w:val="24"/>
          <w:lang w:val="en-US" w:eastAsia="zh-CN" w:bidi="ar-SA"/>
        </w:rPr>
        <w:t>供应商</w:t>
      </w:r>
      <w:r>
        <w:rPr>
          <w:rFonts w:hint="default" w:ascii="Times New Roman" w:hAnsi="Times New Roman" w:eastAsia="方正仿宋_GBK" w:cs="Times New Roman"/>
          <w:kern w:val="2"/>
          <w:sz w:val="24"/>
          <w:szCs w:val="24"/>
          <w:lang w:val="en-US" w:eastAsia="zh-Hans" w:bidi="ar-SA"/>
        </w:rPr>
        <w:t>承担违约责任</w:t>
      </w:r>
      <w:r>
        <w:rPr>
          <w:rFonts w:hint="eastAsia" w:ascii="Times New Roman" w:hAnsi="Times New Roman" w:eastAsia="方正仿宋_GBK" w:cs="Times New Roman"/>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五、知识产权</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采购人在中华人民共和国境内使用供应商提供货物及服务时免受第三方提出的侵犯其专利权或其它知识产权的起诉。如果第三方提出侵权指控，成交供应商应承担由此而引起的一切法律责任和费用。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六、违约责任</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不能按照</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要求如期完成项目服务而违约的，除应及时完成外，</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应按日以合同价款总额的日千分之三向</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支付违约金；逾期交付超过 40日，</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有权解除本合同，要求</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返还</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已付款项，如未支付款项则终止支付款项，同时</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应按合同价款总额的百分之三十向</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支付违约金。</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en-US" w:eastAsia="zh-CN" w:bidi="ar-SA"/>
        </w:rPr>
        <w:t>如因</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完成项目服务存在权利瑕疵导致任何第三方经司法机关或行政机关决定对项目服务主张权利或被国家机关依法查处的，</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有权解除本合同，</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应向</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支付服务价款总金额百分之三十的违约金，并须全额退还</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已支付给</w:t>
      </w:r>
      <w:r>
        <w:rPr>
          <w:rFonts w:hint="eastAsia" w:ascii="Times New Roman" w:hAnsi="Times New Roman" w:eastAsia="方正仿宋_GBK" w:cs="Times New Roman"/>
          <w:kern w:val="2"/>
          <w:sz w:val="24"/>
          <w:szCs w:val="24"/>
          <w:lang w:val="en-US" w:eastAsia="zh-CN" w:bidi="ar-SA"/>
        </w:rPr>
        <w:t>成交供应商</w:t>
      </w:r>
      <w:r>
        <w:rPr>
          <w:rFonts w:hint="default" w:ascii="Times New Roman" w:hAnsi="Times New Roman" w:eastAsia="方正仿宋_GBK" w:cs="Times New Roman"/>
          <w:kern w:val="2"/>
          <w:sz w:val="24"/>
          <w:szCs w:val="24"/>
          <w:lang w:val="en-US" w:eastAsia="zh-CN" w:bidi="ar-SA"/>
        </w:rPr>
        <w:t>的价款及其利息（利息以全国银行间同业拆借中心公布的贷款市场同期报价利率为标准，自</w:t>
      </w:r>
      <w:r>
        <w:rPr>
          <w:rFonts w:hint="eastAsia" w:ascii="Times New Roman" w:hAnsi="Times New Roman" w:eastAsia="方正仿宋_GBK" w:cs="Times New Roman"/>
          <w:kern w:val="2"/>
          <w:sz w:val="24"/>
          <w:szCs w:val="24"/>
          <w:lang w:val="en-US" w:eastAsia="zh-CN" w:bidi="ar-SA"/>
        </w:rPr>
        <w:t>采购方</w:t>
      </w:r>
      <w:r>
        <w:rPr>
          <w:rFonts w:hint="default" w:ascii="Times New Roman" w:hAnsi="Times New Roman" w:eastAsia="方正仿宋_GBK" w:cs="Times New Roman"/>
          <w:kern w:val="2"/>
          <w:sz w:val="24"/>
          <w:szCs w:val="24"/>
          <w:lang w:val="en-US" w:eastAsia="zh-CN" w:bidi="ar-SA"/>
        </w:rPr>
        <w:t>付款之日起计算）。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黑体_GBK" w:cs="Times New Roman"/>
          <w:sz w:val="24"/>
          <w:szCs w:val="24"/>
          <w:lang w:val="en-US" w:eastAsia="zh-CN"/>
        </w:rPr>
      </w:pPr>
      <w:r>
        <w:rPr>
          <w:rFonts w:hint="eastAsia" w:ascii="Times New Roman" w:hAnsi="Times New Roman" w:eastAsia="方正黑体_GBK" w:cs="Times New Roman"/>
          <w:sz w:val="24"/>
          <w:szCs w:val="24"/>
          <w:lang w:val="en-US" w:eastAsia="zh-CN"/>
        </w:rPr>
        <w:t>七、</w:t>
      </w:r>
      <w:r>
        <w:rPr>
          <w:rFonts w:hint="default" w:ascii="Times New Roman" w:hAnsi="Times New Roman" w:eastAsia="方正黑体_GBK" w:cs="Times New Roman"/>
          <w:sz w:val="24"/>
          <w:szCs w:val="24"/>
          <w:lang w:val="en-US" w:eastAsia="zh-CN"/>
        </w:rPr>
        <w:t>其他</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Hans" w:bidi="ar-SA"/>
        </w:rPr>
        <w:t>1.响应人必须在响应文件中对以上条款和服务承诺明确列出，承诺内容必须达到本篇及采购文件其他条款的要求。</w:t>
      </w:r>
    </w:p>
    <w:p>
      <w:pPr>
        <w:pStyle w:val="24"/>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kern w:val="2"/>
          <w:sz w:val="24"/>
          <w:szCs w:val="24"/>
          <w:lang w:val="en-US" w:eastAsia="zh-Hans" w:bidi="ar-SA"/>
        </w:rPr>
        <w:t>.其他未尽事宜由供需双方在采购合同中详细约定。</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jc w:val="left"/>
        <w:textAlignment w:val="auto"/>
        <w:rPr>
          <w:rFonts w:hint="eastAsia"/>
          <w:kern w:val="2"/>
          <w:sz w:val="24"/>
          <w:szCs w:val="24"/>
          <w:lang w:val="en-US" w:eastAsia="zh-CN" w:bidi="ar-SA"/>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小标宋_GBK" w:cs="Times New Roman"/>
          <w:b/>
          <w:sz w:val="24"/>
          <w:szCs w:val="24"/>
        </w:rPr>
      </w:pPr>
    </w:p>
    <w:p>
      <w:pPr>
        <w:pStyle w:val="35"/>
        <w:rPr>
          <w:rFonts w:hint="default" w:ascii="Times New Roman" w:hAnsi="Times New Roman" w:eastAsia="方正小标宋_GBK" w:cs="Times New Roman"/>
          <w:b/>
          <w:sz w:val="24"/>
          <w:szCs w:val="24"/>
        </w:rPr>
      </w:pPr>
    </w:p>
    <w:p>
      <w:pPr>
        <w:pStyle w:val="4"/>
        <w:spacing w:before="0" w:after="0" w:line="360" w:lineRule="auto"/>
        <w:jc w:val="center"/>
        <w:rPr>
          <w:rFonts w:hint="default" w:ascii="Times New Roman" w:hAnsi="Times New Roman" w:eastAsia="方正小标宋_GBK" w:cs="Times New Roman"/>
          <w:b w:val="0"/>
          <w:sz w:val="36"/>
          <w:szCs w:val="30"/>
        </w:rPr>
      </w:pPr>
      <w:bookmarkStart w:id="225" w:name="_Toc1556"/>
      <w:r>
        <w:rPr>
          <w:rFonts w:hint="default" w:ascii="Times New Roman" w:hAnsi="Times New Roman" w:eastAsia="方正小标宋_GBK" w:cs="Times New Roman"/>
          <w:b w:val="0"/>
          <w:sz w:val="36"/>
          <w:szCs w:val="30"/>
        </w:rPr>
        <w:t>第四篇  采购程序、评定成交的标准、无效报价及采购终止</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5"/>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26" w:name="_Toc8317"/>
      <w:bookmarkStart w:id="227" w:name="_Toc9361"/>
      <w:bookmarkStart w:id="228" w:name="_Toc10104"/>
      <w:bookmarkStart w:id="229" w:name="_Toc25403"/>
      <w:bookmarkStart w:id="230" w:name="_Toc65660350"/>
      <w:bookmarkStart w:id="231" w:name="_Toc106034790"/>
      <w:bookmarkStart w:id="232" w:name="_Toc5167"/>
      <w:bookmarkStart w:id="233" w:name="_Toc19311"/>
      <w:bookmarkStart w:id="234" w:name="_Toc27198"/>
      <w:bookmarkStart w:id="235" w:name="_Toc27932"/>
      <w:bookmarkStart w:id="236" w:name="_Toc64732012"/>
      <w:bookmarkStart w:id="237" w:name="_Toc19585"/>
      <w:bookmarkStart w:id="238" w:name="_Toc28282"/>
      <w:bookmarkStart w:id="239" w:name="_Toc27976"/>
      <w:bookmarkStart w:id="240" w:name="_Toc21073"/>
      <w:bookmarkStart w:id="241" w:name="_Toc24446"/>
      <w:bookmarkStart w:id="242" w:name="_Toc27975"/>
      <w:bookmarkStart w:id="243" w:name="_Toc32112"/>
      <w:bookmarkStart w:id="244" w:name="_Toc8748"/>
      <w:bookmarkStart w:id="245" w:name="_Toc26822"/>
      <w:r>
        <w:rPr>
          <w:rFonts w:hint="default" w:ascii="Times New Roman" w:hAnsi="Times New Roman" w:eastAsia="方正仿宋_GBK" w:cs="Times New Roman"/>
          <w:sz w:val="24"/>
        </w:rPr>
        <w:t>一、采购程序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34"/>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按</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规定的时间和地点进行。</w:t>
      </w:r>
    </w:p>
    <w:p>
      <w:pPr>
        <w:pStyle w:val="34"/>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（二）由本项目</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 xml:space="preserve">小组对各供应商的资格条件、实质性响应等进行审查。 </w:t>
      </w:r>
    </w:p>
    <w:p>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1.资格性审查。依据法律法规和</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的规定，对响应文件中的资格证明材料等进行审查。资格性审查内容如下：</w:t>
      </w:r>
    </w:p>
    <w:tbl>
      <w:tblPr>
        <w:tblStyle w:val="59"/>
        <w:tblpPr w:leftFromText="180" w:rightFromText="180" w:vertAnchor="text" w:horzAnchor="page" w:tblpX="1699"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06"/>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检查因素</w:t>
            </w:r>
          </w:p>
        </w:tc>
        <w:tc>
          <w:tcPr>
            <w:tcW w:w="4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《中华人民共和国政府采购法》第二十二条规定</w:t>
            </w:r>
          </w:p>
        </w:tc>
        <w:tc>
          <w:tcPr>
            <w:tcW w:w="310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1.具有独立承担民事责任的能力</w:t>
            </w:r>
          </w:p>
        </w:tc>
        <w:tc>
          <w:tcPr>
            <w:tcW w:w="499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1.供应商法人营业执照（副本）或事业单位法人证书（副本）或个体工商户营业执照或有效的自然人身份证明或社会团体法人登记证书（提供复印件）。 </w:t>
            </w:r>
          </w:p>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rPr>
                <w:rFonts w:hint="default" w:ascii="Times New Roman" w:hAnsi="Times New Roman" w:eastAsia="方正仿宋_GBK" w:cs="Times New Roman"/>
                <w:sz w:val="21"/>
                <w:szCs w:val="21"/>
                <w:lang w:val="zh-CN"/>
              </w:rPr>
            </w:pPr>
          </w:p>
        </w:tc>
        <w:tc>
          <w:tcPr>
            <w:tcW w:w="310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2.</w:t>
            </w:r>
            <w:r>
              <w:rPr>
                <w:rFonts w:hint="default" w:ascii="Times New Roman" w:hAnsi="Times New Roman" w:eastAsia="方正仿宋_GBK" w:cs="Times New Roman"/>
                <w:sz w:val="21"/>
                <w:szCs w:val="21"/>
              </w:rPr>
              <w:t>具有良好的商业信誉和健全的财务会计制度</w:t>
            </w:r>
          </w:p>
        </w:tc>
        <w:tc>
          <w:tcPr>
            <w:tcW w:w="4996" w:type="dxa"/>
            <w:vMerge w:val="restart"/>
            <w:noWrap w:val="0"/>
            <w:vAlign w:val="center"/>
          </w:tcPr>
          <w:p>
            <w:pPr>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供应商提供“基本资格条件承诺函”（格式详见第</w:t>
            </w:r>
            <w:r>
              <w:rPr>
                <w:rFonts w:hint="eastAsia" w:ascii="Times New Roman" w:hAnsi="Times New Roman" w:eastAsia="方正仿宋_GBK" w:cs="Times New Roman"/>
                <w:sz w:val="21"/>
                <w:szCs w:val="21"/>
                <w:lang w:val="en-US" w:eastAsia="zh-CN"/>
              </w:rPr>
              <w:t>八</w:t>
            </w:r>
            <w:r>
              <w:rPr>
                <w:rFonts w:hint="default" w:ascii="Times New Roman" w:hAnsi="Times New Roman" w:eastAsia="方正仿宋_GBK" w:cs="Times New Roman"/>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rPr>
                <w:rFonts w:hint="default" w:ascii="Times New Roman" w:hAnsi="Times New Roman" w:eastAsia="方正仿宋_GBK" w:cs="Times New Roman"/>
                <w:sz w:val="21"/>
                <w:szCs w:val="21"/>
                <w:lang w:val="zh-CN"/>
              </w:rPr>
            </w:pPr>
          </w:p>
        </w:tc>
        <w:tc>
          <w:tcPr>
            <w:tcW w:w="3106" w:type="dxa"/>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3.具有履行合同所必需的设备和专业技术能力</w:t>
            </w:r>
          </w:p>
        </w:tc>
        <w:tc>
          <w:tcPr>
            <w:tcW w:w="4996" w:type="dxa"/>
            <w:vMerge w:val="continue"/>
            <w:noWrap w:val="0"/>
            <w:vAlign w:val="center"/>
          </w:tcPr>
          <w:p>
            <w:pP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rPr>
                <w:rFonts w:hint="default" w:ascii="Times New Roman" w:hAnsi="Times New Roman" w:eastAsia="方正仿宋_GBK" w:cs="Times New Roman"/>
                <w:sz w:val="21"/>
                <w:szCs w:val="21"/>
                <w:lang w:val="zh-CN"/>
              </w:rPr>
            </w:pPr>
          </w:p>
        </w:tc>
        <w:tc>
          <w:tcPr>
            <w:tcW w:w="3106" w:type="dxa"/>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4.有依法缴纳税收和社会保障金的良好记录</w:t>
            </w:r>
          </w:p>
        </w:tc>
        <w:tc>
          <w:tcPr>
            <w:tcW w:w="4996" w:type="dxa"/>
            <w:vMerge w:val="continue"/>
            <w:noWrap w:val="0"/>
            <w:vAlign w:val="center"/>
          </w:tcPr>
          <w:p>
            <w:pP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rPr>
                <w:rFonts w:hint="default" w:ascii="Times New Roman" w:hAnsi="Times New Roman" w:eastAsia="方正仿宋_GBK" w:cs="Times New Roman"/>
                <w:sz w:val="21"/>
                <w:szCs w:val="21"/>
                <w:lang w:val="zh-CN"/>
              </w:rPr>
            </w:pPr>
          </w:p>
        </w:tc>
        <w:tc>
          <w:tcPr>
            <w:tcW w:w="3106" w:type="dxa"/>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5.参加政府采购活动前三年内，在经营活动中没有重大违法记录</w:t>
            </w:r>
          </w:p>
        </w:tc>
        <w:tc>
          <w:tcPr>
            <w:tcW w:w="4996" w:type="dxa"/>
            <w:vMerge w:val="continue"/>
            <w:noWrap w:val="0"/>
            <w:vAlign w:val="center"/>
          </w:tcPr>
          <w:p>
            <w:pPr>
              <w:rPr>
                <w:rFonts w:hint="default" w:ascii="Times New Roman" w:hAnsi="Times New Roman" w:eastAsia="方正仿宋_GBK"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noWrap w:val="0"/>
            <w:vAlign w:val="center"/>
          </w:tcPr>
          <w:p>
            <w:pPr>
              <w:rPr>
                <w:rFonts w:hint="default" w:ascii="Times New Roman" w:hAnsi="Times New Roman" w:eastAsia="方正仿宋_GBK" w:cs="Times New Roman"/>
                <w:sz w:val="21"/>
                <w:szCs w:val="21"/>
              </w:rPr>
            </w:pPr>
          </w:p>
        </w:tc>
        <w:tc>
          <w:tcPr>
            <w:tcW w:w="310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6.法律、行政法规规定的其他条件</w:t>
            </w:r>
          </w:p>
        </w:tc>
        <w:tc>
          <w:tcPr>
            <w:tcW w:w="4996" w:type="dxa"/>
            <w:noWrap w:val="0"/>
            <w:vAlign w:val="center"/>
          </w:tcPr>
          <w:p>
            <w:pP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noWrap w:val="0"/>
            <w:vAlign w:val="center"/>
          </w:tcPr>
          <w:p>
            <w:pPr>
              <w:rPr>
                <w:rFonts w:hint="default" w:ascii="Times New Roman" w:hAnsi="Times New Roman" w:eastAsia="方正仿宋_GBK" w:cs="Times New Roman"/>
                <w:sz w:val="21"/>
                <w:szCs w:val="21"/>
              </w:rPr>
            </w:pPr>
          </w:p>
        </w:tc>
        <w:tc>
          <w:tcPr>
            <w:tcW w:w="310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7.本项目的特定资格要求</w:t>
            </w:r>
          </w:p>
        </w:tc>
        <w:tc>
          <w:tcPr>
            <w:tcW w:w="4996"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w:t>
            </w:r>
            <w:r>
              <w:rPr>
                <w:rFonts w:hint="eastAsia" w:ascii="Times New Roman" w:hAnsi="Times New Roman" w:eastAsia="方正仿宋_GBK" w:cs="Times New Roman"/>
                <w:sz w:val="21"/>
                <w:szCs w:val="21"/>
                <w:lang w:val="en-US" w:eastAsia="zh-CN"/>
              </w:rPr>
              <w:t>篇 三、</w:t>
            </w:r>
            <w:r>
              <w:rPr>
                <w:rFonts w:hint="default" w:ascii="Times New Roman" w:hAnsi="Times New Roman" w:eastAsia="方正仿宋_GBK" w:cs="Times New Roman"/>
                <w:sz w:val="21"/>
                <w:szCs w:val="21"/>
              </w:rPr>
              <w:t>供应商资格要求</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二</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本项目的特定资格要求”的要求提交（如果有）。。</w:t>
            </w:r>
          </w:p>
        </w:tc>
      </w:tr>
    </w:tbl>
    <w:p>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w:t>
      </w:r>
    </w:p>
    <w:p>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numPr>
          <w:ilvl w:val="0"/>
          <w:numId w:val="16"/>
        </w:numPr>
        <w:snapToGrid w:val="0"/>
        <w:spacing w:line="400" w:lineRule="exact"/>
        <w:ind w:firstLine="480" w:firstLineChars="200"/>
        <w:rPr>
          <w:rFonts w:hint="default" w:ascii="Times New Roman" w:hAnsi="Times New Roman" w:cs="Times New Roman"/>
        </w:rPr>
      </w:pPr>
      <w:r>
        <w:rPr>
          <w:rFonts w:hint="default" w:ascii="Times New Roman" w:hAnsi="Times New Roman" w:eastAsia="方正仿宋_GBK" w:cs="Times New Roman"/>
          <w:sz w:val="24"/>
          <w:szCs w:val="24"/>
        </w:rPr>
        <w:t>实质性响应审查。</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小组应当对响应文件进行评审，并根据</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规定的采购程序、评定成交的标准等事项与实质性响应</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要求的供应商进行评审。未实质性响应</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的响应文件按无效处理，</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序号</w:t>
            </w:r>
          </w:p>
        </w:tc>
        <w:tc>
          <w:tcPr>
            <w:tcW w:w="2694" w:type="dxa"/>
            <w:noWrap w:val="0"/>
            <w:vAlign w:val="center"/>
          </w:tcPr>
          <w:p>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审查因素</w:t>
            </w:r>
          </w:p>
        </w:tc>
        <w:tc>
          <w:tcPr>
            <w:tcW w:w="6259" w:type="dxa"/>
            <w:noWrap w:val="0"/>
            <w:vAlign w:val="center"/>
          </w:tcPr>
          <w:p>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2694"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响应文件签署或盖章</w:t>
            </w:r>
          </w:p>
        </w:tc>
        <w:tc>
          <w:tcPr>
            <w:tcW w:w="6259"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按“第</w:t>
            </w:r>
            <w:r>
              <w:rPr>
                <w:rFonts w:hint="eastAsia" w:ascii="Times New Roman" w:hAnsi="Times New Roman" w:eastAsia="方正仿宋_GBK" w:cs="Times New Roman"/>
                <w:sz w:val="21"/>
                <w:szCs w:val="21"/>
                <w:lang w:val="en-US" w:eastAsia="zh-CN"/>
              </w:rPr>
              <w:t>八</w:t>
            </w:r>
            <w:r>
              <w:rPr>
                <w:rFonts w:hint="default" w:ascii="Times New Roman" w:hAnsi="Times New Roman" w:eastAsia="方正仿宋_GBK" w:cs="Times New Roman"/>
                <w:sz w:val="21"/>
                <w:szCs w:val="21"/>
              </w:rPr>
              <w:t>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default" w:ascii="Times New Roman" w:hAnsi="Times New Roman" w:eastAsia="方正仿宋_GBK" w:cs="Times New Roman"/>
                <w:kern w:val="0"/>
                <w:sz w:val="21"/>
                <w:szCs w:val="21"/>
              </w:rPr>
            </w:pPr>
          </w:p>
        </w:tc>
        <w:tc>
          <w:tcPr>
            <w:tcW w:w="2694"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w:t>
            </w:r>
          </w:p>
        </w:tc>
        <w:tc>
          <w:tcPr>
            <w:tcW w:w="6259" w:type="dxa"/>
            <w:noWrap w:val="0"/>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法定代表人身份证明及授权委托书有效，符合</w:t>
            </w:r>
            <w:r>
              <w:rPr>
                <w:rFonts w:hint="eastAsia" w:ascii="Times New Roman" w:hAnsi="Times New Roman" w:eastAsia="方正仿宋_GBK" w:cs="Times New Roman"/>
                <w:sz w:val="21"/>
                <w:szCs w:val="21"/>
                <w:lang w:eastAsia="zh-CN"/>
              </w:rPr>
              <w:t>竞争性磋商文件</w:t>
            </w:r>
            <w:r>
              <w:rPr>
                <w:rFonts w:hint="default" w:ascii="Times New Roman" w:hAnsi="Times New Roman" w:eastAsia="方正仿宋_GBK" w:cs="Times New Roman"/>
                <w:sz w:val="21"/>
                <w:szCs w:val="21"/>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675" w:type="dxa"/>
            <w:vMerge w:val="continue"/>
            <w:noWrap w:val="0"/>
            <w:vAlign w:val="center"/>
          </w:tcPr>
          <w:p>
            <w:pPr>
              <w:jc w:val="center"/>
              <w:rPr>
                <w:rFonts w:hint="default" w:ascii="Times New Roman" w:hAnsi="Times New Roman" w:eastAsia="方正仿宋_GBK" w:cs="Times New Roman"/>
                <w:kern w:val="0"/>
                <w:sz w:val="21"/>
                <w:szCs w:val="21"/>
              </w:rPr>
            </w:pPr>
          </w:p>
        </w:tc>
        <w:tc>
          <w:tcPr>
            <w:tcW w:w="2694" w:type="dxa"/>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c>
          <w:tcPr>
            <w:tcW w:w="6259"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zh-CN"/>
              </w:rPr>
              <w:t>只能有一个</w:t>
            </w: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default" w:ascii="Times New Roman" w:hAnsi="Times New Roman" w:eastAsia="方正仿宋_GBK" w:cs="Times New Roman"/>
                <w:kern w:val="0"/>
                <w:sz w:val="21"/>
                <w:szCs w:val="21"/>
              </w:rPr>
            </w:pPr>
          </w:p>
        </w:tc>
        <w:tc>
          <w:tcPr>
            <w:tcW w:w="2694" w:type="dxa"/>
            <w:noWrap w:val="0"/>
            <w:vAlign w:val="center"/>
          </w:tcPr>
          <w:p>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报价唯一</w:t>
            </w:r>
          </w:p>
        </w:tc>
        <w:tc>
          <w:tcPr>
            <w:tcW w:w="6259"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2694"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w:t>
            </w:r>
            <w:r>
              <w:rPr>
                <w:rFonts w:hint="default" w:ascii="Times New Roman" w:hAnsi="Times New Roman" w:eastAsia="方正仿宋_GBK" w:cs="Times New Roman"/>
                <w:sz w:val="21"/>
                <w:szCs w:val="21"/>
                <w:lang w:val="zh-CN"/>
              </w:rPr>
              <w:t>份数</w:t>
            </w:r>
          </w:p>
        </w:tc>
        <w:tc>
          <w:tcPr>
            <w:tcW w:w="6259" w:type="dxa"/>
            <w:noWrap w:val="0"/>
            <w:vAlign w:val="center"/>
          </w:tcPr>
          <w:p>
            <w:pPr>
              <w:keepNext w:val="0"/>
              <w:keepLines w:val="0"/>
              <w:pageBreakBefore w:val="0"/>
              <w:widowControl w:val="0"/>
              <w:kinsoku/>
              <w:wordWrap/>
              <w:overflowPunct/>
              <w:topLinePunct w:val="0"/>
              <w:autoSpaceDE/>
              <w:autoSpaceDN/>
              <w:bidi w:val="0"/>
              <w:spacing w:line="0" w:lineRule="atLeast"/>
              <w:textAlignment w:val="auto"/>
              <w:rPr>
                <w:rFonts w:hint="default" w:ascii="Times New Roman" w:hAnsi="Times New Roman" w:cs="Times New Roman"/>
                <w:lang w:val="en-US" w:eastAsia="zh-CN"/>
              </w:rPr>
            </w:pPr>
            <w:r>
              <w:rPr>
                <w:rFonts w:hint="eastAsia" w:ascii="Times New Roman" w:hAnsi="Times New Roman" w:eastAsia="方正仿宋_GBK" w:cs="Times New Roman"/>
                <w:sz w:val="21"/>
                <w:szCs w:val="21"/>
                <w:lang w:val="en-US" w:eastAsia="zh-CN"/>
              </w:rPr>
              <w:t>1套，</w:t>
            </w:r>
            <w:r>
              <w:rPr>
                <w:rFonts w:hint="default" w:ascii="Times New Roman" w:hAnsi="Times New Roman" w:eastAsia="方正仿宋_GBK" w:cs="Times New Roman"/>
                <w:sz w:val="21"/>
                <w:szCs w:val="21"/>
                <w:lang w:val="en-US" w:eastAsia="zh-CN"/>
              </w:rPr>
              <w:t>响应文件按规定</w:t>
            </w:r>
            <w:r>
              <w:rPr>
                <w:rFonts w:hint="eastAsia" w:ascii="Times New Roman" w:hAnsi="Times New Roman" w:eastAsia="方正仿宋_GBK" w:cs="Times New Roman"/>
                <w:sz w:val="21"/>
                <w:szCs w:val="21"/>
                <w:lang w:val="en-US" w:eastAsia="zh-CN"/>
              </w:rPr>
              <w:t>送达纸质件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2694"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响应文件内容</w:t>
            </w:r>
          </w:p>
        </w:tc>
        <w:tc>
          <w:tcPr>
            <w:tcW w:w="6259" w:type="dxa"/>
            <w:noWrap w:val="0"/>
            <w:vAlign w:val="center"/>
          </w:tcPr>
          <w:p>
            <w:pPr>
              <w:pStyle w:val="33"/>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对</w:t>
            </w:r>
            <w:r>
              <w:rPr>
                <w:rFonts w:hint="eastAsia" w:ascii="Times New Roman" w:hAnsi="Times New Roman" w:eastAsia="方正仿宋_GBK" w:cs="Times New Roman"/>
                <w:kern w:val="0"/>
                <w:sz w:val="21"/>
                <w:szCs w:val="21"/>
                <w:lang w:eastAsia="zh-CN"/>
              </w:rPr>
              <w:t>竞争性磋商文件</w:t>
            </w:r>
            <w:r>
              <w:rPr>
                <w:rFonts w:hint="default" w:ascii="Times New Roman" w:hAnsi="Times New Roman" w:eastAsia="方正仿宋_GBK" w:cs="Times New Roman"/>
                <w:kern w:val="0"/>
                <w:sz w:val="21"/>
                <w:szCs w:val="21"/>
              </w:rPr>
              <w:t>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default" w:ascii="Times New Roman" w:hAnsi="Times New Roman" w:eastAsia="方正仿宋_GBK" w:cs="Times New Roman"/>
                <w:kern w:val="0"/>
                <w:sz w:val="21"/>
                <w:szCs w:val="21"/>
              </w:rPr>
            </w:pPr>
          </w:p>
        </w:tc>
        <w:tc>
          <w:tcPr>
            <w:tcW w:w="2694"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询价有效期</w:t>
            </w:r>
          </w:p>
        </w:tc>
        <w:tc>
          <w:tcPr>
            <w:tcW w:w="6259" w:type="dxa"/>
            <w:noWrap w:val="0"/>
            <w:vAlign w:val="center"/>
          </w:tcPr>
          <w:p>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响应文件及有关承诺文件有效期为提交响应文件截止时间起90天。</w:t>
            </w:r>
          </w:p>
        </w:tc>
      </w:tr>
    </w:tbl>
    <w:p>
      <w:pPr>
        <w:snapToGrid w:val="0"/>
        <w:spacing w:line="380" w:lineRule="exact"/>
        <w:ind w:firstLine="360" w:firstLineChars="150"/>
        <w:rPr>
          <w:rFonts w:hint="eastAsia" w:ascii="方正仿宋_GBK" w:hAnsi="宋体" w:eastAsia="方正仿宋_GBK"/>
          <w:color w:val="auto"/>
          <w:sz w:val="24"/>
          <w:szCs w:val="24"/>
        </w:rPr>
      </w:pPr>
      <w:bookmarkStart w:id="246" w:name="_Toc11713"/>
      <w:bookmarkStart w:id="247" w:name="_Toc7462"/>
      <w:bookmarkStart w:id="248" w:name="_Toc18154"/>
      <w:bookmarkStart w:id="249" w:name="_Toc12429"/>
      <w:bookmarkStart w:id="250" w:name="_Toc9916"/>
      <w:bookmarkStart w:id="251" w:name="_Toc65660351"/>
      <w:bookmarkStart w:id="252" w:name="_Toc3074"/>
      <w:bookmarkStart w:id="253" w:name="_Toc16502"/>
      <w:bookmarkStart w:id="254" w:name="_Toc64732013"/>
      <w:bookmarkStart w:id="255" w:name="_Toc28311"/>
      <w:bookmarkStart w:id="256" w:name="_Toc20509"/>
      <w:bookmarkStart w:id="257" w:name="_Toc29660"/>
      <w:bookmarkStart w:id="258" w:name="_Toc30639"/>
      <w:bookmarkStart w:id="259" w:name="_Toc106034791"/>
      <w:bookmarkStart w:id="260" w:name="_Toc17025"/>
      <w:bookmarkStart w:id="261" w:name="_Toc19185"/>
      <w:bookmarkStart w:id="262" w:name="_Toc5149"/>
      <w:bookmarkStart w:id="263" w:name="_Toc3973"/>
      <w:bookmarkStart w:id="264" w:name="_Toc18089"/>
      <w:bookmarkStart w:id="265" w:name="_Toc16656"/>
      <w:r>
        <w:rPr>
          <w:rFonts w:hint="eastAsia" w:ascii="方正仿宋_GBK" w:hAnsi="宋体" w:eastAsia="方正仿宋_GBK"/>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（五）在磋商过程中磋商的任何一方不得向他人透露与磋商有关的服务资料、价格或其他信息。</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（七）供应商在磋商时作出的所有书面承诺须由法定代表人或其授权代表签字。</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napToGrid w:val="0"/>
        <w:spacing w:line="380" w:lineRule="exact"/>
        <w:ind w:firstLine="360" w:firstLineChars="150"/>
        <w:rPr>
          <w:rFonts w:hint="eastAsia" w:ascii="方正仿宋_GBK" w:hAnsi="宋体" w:eastAsia="方正仿宋_GBK"/>
          <w:b/>
          <w:bCs/>
          <w:color w:val="auto"/>
          <w:sz w:val="24"/>
          <w:szCs w:val="24"/>
        </w:rPr>
      </w:pPr>
      <w:r>
        <w:rPr>
          <w:rFonts w:hint="eastAsia" w:ascii="方正仿宋_GBK" w:hAnsi="宋体" w:eastAsia="方正仿宋_GBK"/>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方正仿宋_GBK" w:hAnsi="宋体" w:eastAsia="方正仿宋_GBK"/>
          <w:b/>
          <w:bCs/>
          <w:color w:val="auto"/>
          <w:sz w:val="24"/>
          <w:szCs w:val="24"/>
        </w:rPr>
        <w:t>。</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随机确定成交供应商。</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若成交人无故放弃成交资格，由此而产生的经济损失、经济责任和一切后果由成交人承担</w:t>
      </w:r>
      <w:r>
        <w:rPr>
          <w:rFonts w:hint="eastAsia" w:ascii="方正仿宋_GBK" w:hAnsi="宋体" w:eastAsia="方正仿宋_GBK" w:cs="Times New Roman"/>
          <w:color w:val="auto"/>
          <w:sz w:val="24"/>
          <w:szCs w:val="24"/>
          <w:highlight w:val="none"/>
          <w:lang w:val="en-US" w:eastAsia="zh-CN"/>
        </w:rPr>
        <w:t>。顺延取其符合法定要求排名其</w:t>
      </w:r>
      <w:r>
        <w:rPr>
          <w:rFonts w:hint="eastAsia" w:ascii="方正仿宋_GBK" w:hAnsi="宋体" w:eastAsia="方正仿宋_GBK" w:cs="Times New Roman"/>
          <w:color w:val="auto"/>
          <w:sz w:val="24"/>
          <w:szCs w:val="24"/>
          <w:lang w:val="en-US" w:eastAsia="zh-CN"/>
        </w:rPr>
        <w:t>后第一位的响应人可以确定其为成交人；或重新组织采购。</w:t>
      </w:r>
    </w:p>
    <w:p>
      <w:pPr>
        <w:snapToGrid w:val="0"/>
        <w:spacing w:line="380" w:lineRule="exact"/>
        <w:ind w:firstLine="360" w:firstLineChars="150"/>
        <w:rPr>
          <w:rFonts w:hint="default" w:ascii="Times New Roman" w:hAnsi="Times New Roman" w:eastAsia="方正仿宋_GBK" w:cs="Times New Roman"/>
          <w:sz w:val="24"/>
        </w:rPr>
      </w:pPr>
      <w:r>
        <w:rPr>
          <w:rFonts w:hint="eastAsia" w:ascii="方正仿宋_GBK" w:hAnsi="宋体" w:eastAsia="方正仿宋_GBK" w:cs="Times New Roman"/>
          <w:color w:val="auto"/>
          <w:sz w:val="24"/>
          <w:szCs w:val="24"/>
          <w:lang w:val="en-US" w:eastAsia="zh-CN"/>
        </w:rPr>
        <w:t>如成交供应商查实虚假应标，则取消其成交资格，同时列入医院供应商不良记录名录，三年内不得参与医院的所有采购项目，顺延取其符合法定要求排名后第一位的响应人为成交人，或重新组织采购。</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二、评定成交的标准</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napToGrid w:val="0"/>
        <w:spacing w:line="380" w:lineRule="exact"/>
        <w:ind w:firstLine="360" w:firstLineChars="150"/>
        <w:rPr>
          <w:rFonts w:hint="eastAsia" w:ascii="方正仿宋_GBK" w:hAnsi="宋体" w:eastAsia="方正仿宋_GBK"/>
          <w:color w:val="auto"/>
          <w:sz w:val="24"/>
          <w:szCs w:val="24"/>
          <w:highlight w:val="yellow"/>
        </w:rPr>
      </w:pPr>
      <w:bookmarkStart w:id="266" w:name="_Toc29113"/>
      <w:bookmarkStart w:id="267" w:name="_Toc65660352"/>
      <w:bookmarkStart w:id="268" w:name="_Toc12644"/>
      <w:bookmarkStart w:id="269" w:name="_Toc4047"/>
      <w:bookmarkStart w:id="270" w:name="_Toc14557"/>
      <w:bookmarkStart w:id="271" w:name="_Toc24416"/>
      <w:bookmarkStart w:id="272" w:name="_Toc9734"/>
      <w:bookmarkStart w:id="273" w:name="_Toc15145"/>
      <w:bookmarkStart w:id="274" w:name="_Toc571"/>
      <w:bookmarkStart w:id="275" w:name="_Toc14812"/>
      <w:bookmarkStart w:id="276" w:name="_Toc106034792"/>
      <w:bookmarkStart w:id="277" w:name="_Toc14095"/>
      <w:bookmarkStart w:id="278" w:name="_Toc9632"/>
      <w:bookmarkStart w:id="279" w:name="_Toc19473"/>
      <w:bookmarkStart w:id="280" w:name="_Toc15497"/>
      <w:bookmarkStart w:id="281" w:name="_Toc28361"/>
      <w:bookmarkStart w:id="282" w:name="_Toc4921"/>
      <w:bookmarkStart w:id="283" w:name="_Toc26384"/>
      <w:bookmarkStart w:id="284" w:name="_Toc16513"/>
      <w:r>
        <w:rPr>
          <w:rFonts w:hint="eastAsia" w:ascii="方正仿宋_GBK" w:hAnsi="宋体" w:eastAsia="方正仿宋_GBK"/>
          <w:color w:val="auto"/>
          <w:sz w:val="24"/>
          <w:szCs w:val="24"/>
          <w:highlight w:val="yellow"/>
        </w:rPr>
        <w:t>（一）评分标准</w:t>
      </w:r>
    </w:p>
    <w:tbl>
      <w:tblPr>
        <w:tblStyle w:val="59"/>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15"/>
        <w:gridCol w:w="870"/>
        <w:gridCol w:w="535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92"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p>
        </w:tc>
        <w:tc>
          <w:tcPr>
            <w:tcW w:w="1215"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评审分项</w:t>
            </w:r>
          </w:p>
        </w:tc>
        <w:tc>
          <w:tcPr>
            <w:tcW w:w="870"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分值</w:t>
            </w:r>
          </w:p>
        </w:tc>
        <w:tc>
          <w:tcPr>
            <w:tcW w:w="5355"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评审内容及分值</w:t>
            </w:r>
          </w:p>
        </w:tc>
        <w:tc>
          <w:tcPr>
            <w:tcW w:w="1645"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92"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价格部分</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215"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c>
          <w:tcPr>
            <w:tcW w:w="870"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5355" w:type="dxa"/>
            <w:noWrap w:val="0"/>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1、满足采购文件要求且投标价格最低的投标报价为评标基准价 （D），其价格分为满分（20分）</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2、其他合格投标人或产品制造商的投标报价（V）得分按如下公式计算：</w:t>
            </w:r>
          </w:p>
          <w:p>
            <w:pPr>
              <w:spacing w:line="24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报价得分=（评标基准价D／投标报价V）×20。</w:t>
            </w:r>
          </w:p>
        </w:tc>
        <w:tc>
          <w:tcPr>
            <w:tcW w:w="1645" w:type="dxa"/>
            <w:noWrap w:val="0"/>
            <w:vAlign w:val="center"/>
          </w:tcPr>
          <w:p>
            <w:pPr>
              <w:spacing w:line="240" w:lineRule="auto"/>
              <w:jc w:val="lef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7" w:hRule="atLeast"/>
          <w:jc w:val="center"/>
        </w:trPr>
        <w:tc>
          <w:tcPr>
            <w:tcW w:w="792" w:type="dxa"/>
            <w:vMerge w:val="restart"/>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商务部分（26％）</w:t>
            </w:r>
          </w:p>
        </w:tc>
        <w:tc>
          <w:tcPr>
            <w:tcW w:w="1215"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服务能力</w:t>
            </w:r>
          </w:p>
        </w:tc>
        <w:tc>
          <w:tcPr>
            <w:tcW w:w="870"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24分</w:t>
            </w:r>
          </w:p>
        </w:tc>
        <w:tc>
          <w:tcPr>
            <w:tcW w:w="5355" w:type="dxa"/>
            <w:noWrap w:val="0"/>
            <w:vAlign w:val="center"/>
          </w:tcPr>
          <w:p>
            <w:pPr>
              <w:keepNext w:val="0"/>
              <w:keepLines w:val="0"/>
              <w:pageBreakBefore w:val="0"/>
              <w:widowControl w:val="0"/>
              <w:numPr>
                <w:ilvl w:val="0"/>
                <w:numId w:val="17"/>
              </w:numPr>
              <w:kinsoku/>
              <w:wordWrap w:val="0"/>
              <w:overflowPunct/>
              <w:topLinePunct w:val="0"/>
              <w:autoSpaceDE/>
              <w:autoSpaceDN/>
              <w:bidi w:val="0"/>
              <w:adjustRightInd/>
              <w:snapToGrid/>
              <w:spacing w:line="240" w:lineRule="auto"/>
              <w:jc w:val="left"/>
              <w:textAlignment w:val="auto"/>
              <w:rPr>
                <w:rFonts w:hint="eastAsia"/>
                <w:color w:val="000000"/>
                <w:sz w:val="24"/>
                <w:szCs w:val="24"/>
                <w:lang w:val="en-US" w:eastAsia="zh-CN"/>
              </w:rPr>
            </w:pPr>
            <w:r>
              <w:rPr>
                <w:rFonts w:hint="eastAsia" w:ascii="仿宋" w:hAnsi="仿宋" w:eastAsia="仿宋" w:cs="仿宋"/>
                <w:color w:val="000000"/>
                <w:sz w:val="24"/>
                <w:szCs w:val="24"/>
                <w:lang w:val="en-US" w:eastAsia="zh-CN"/>
              </w:rPr>
              <w:t>为保证所投产品厂商具有较强的技术能力和广泛的市场认可，要求所投产品生产厂商需为（GB/T 37732-2019）《信息技术 云计算 云存储系统服务接口功能》、（GB/T 37737-2019）《信息技术 云计算 分布式存储系统总体技术要求》的起草单位之一，满足一项得6分，最高12分，其它不得分。（提供国家标准全文公开（https://openstd.samr.gov.cn/bzgk/gb/index）官网链接截图，需包含标准名称、标准号、起草单位信息并加盖投标人鲜章）</w:t>
            </w:r>
          </w:p>
          <w:p>
            <w:pPr>
              <w:numPr>
                <w:ilvl w:val="0"/>
                <w:numId w:val="17"/>
              </w:numPr>
              <w:spacing w:line="240" w:lineRule="auto"/>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确保所选产品具备高性能、高可用性、可扩展性和安全性，所投产品生产厂商在2019-2024年间，其产品连续3年及以上在软件定义存储（SDS）中国整体市场排名前五，并提供IDC授权市场排名证明材料并加盖投标人鲜章。满足得6分，不满足不得分。</w:t>
            </w:r>
          </w:p>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3.为确保所选产品专业性强，产品厂商入选Gartner Voice of the Customer（Gartner客户之声）报告，2023-2024年中至少提供其中1年入选的报告截图并加盖投标人鲜章，满足得6分，否则不得分。</w:t>
            </w:r>
          </w:p>
        </w:tc>
        <w:tc>
          <w:tcPr>
            <w:tcW w:w="1645" w:type="dxa"/>
            <w:noWrap w:val="0"/>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提供证书复印件或官网截图等相关证明材料，并加盖公章。所提供材料可应要求提供现场验证真伪。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2" w:type="dxa"/>
            <w:vMerge w:val="continue"/>
            <w:noWrap w:val="0"/>
            <w:vAlign w:val="center"/>
          </w:tcPr>
          <w:p>
            <w:pPr>
              <w:spacing w:line="240" w:lineRule="auto"/>
              <w:jc w:val="center"/>
              <w:rPr>
                <w:rFonts w:hint="eastAsia" w:ascii="仿宋" w:hAnsi="仿宋" w:eastAsia="仿宋" w:cs="仿宋"/>
                <w:sz w:val="24"/>
                <w:szCs w:val="24"/>
                <w:lang w:val="en-US" w:eastAsia="zh-CN"/>
              </w:rPr>
            </w:pPr>
          </w:p>
        </w:tc>
        <w:tc>
          <w:tcPr>
            <w:tcW w:w="1215" w:type="dxa"/>
            <w:noWrap w:val="0"/>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质保期</w:t>
            </w:r>
          </w:p>
        </w:tc>
        <w:tc>
          <w:tcPr>
            <w:tcW w:w="870" w:type="dxa"/>
            <w:noWrap w:val="0"/>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2分</w:t>
            </w:r>
          </w:p>
        </w:tc>
        <w:tc>
          <w:tcPr>
            <w:tcW w:w="5355" w:type="dxa"/>
            <w:noWrap w:val="0"/>
            <w:vAlign w:val="center"/>
          </w:tcPr>
          <w:p>
            <w:p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在满足采购文件要求的基础上，投标人每增加 12 个月得 1分，最多得2分。</w:t>
            </w:r>
          </w:p>
        </w:tc>
        <w:tc>
          <w:tcPr>
            <w:tcW w:w="1645" w:type="dxa"/>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提供原厂质保服承诺函并加盖公章。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92" w:type="dxa"/>
            <w:vMerge w:val="restart"/>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技术部分（54％）</w:t>
            </w:r>
          </w:p>
        </w:tc>
        <w:tc>
          <w:tcPr>
            <w:tcW w:w="1215"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技术指标符合度</w:t>
            </w:r>
          </w:p>
        </w:tc>
        <w:tc>
          <w:tcPr>
            <w:tcW w:w="870"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50分</w:t>
            </w:r>
          </w:p>
        </w:tc>
        <w:tc>
          <w:tcPr>
            <w:tcW w:w="5355" w:type="dxa"/>
            <w:noWrap w:val="0"/>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投标人所投产品须响应技术参数要求：</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评分依据：</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体现重要技术指标的成熟产品界面（不得为线框形式草稿）截图等证明信息，满足招标文件基本要求得标准分值，重要技术指标（“★”号）缺项或负偏离一项扣8分；一般技术指标响应缺项或负偏离一项扣3分，扣完为止。截图等证明信息所反映的功能完全满足技术指标要求描述可认定为无“缺项或负偏离”，否则扣分。</w:t>
            </w:r>
          </w:p>
        </w:tc>
        <w:tc>
          <w:tcPr>
            <w:tcW w:w="1645" w:type="dxa"/>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若提供材料未能体现相关信息的，属于未按要求提供不得分，所有技术规格功能指标可应要求进行现场测试。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92" w:type="dxa"/>
            <w:vMerge w:val="continue"/>
            <w:noWrap w:val="0"/>
            <w:vAlign w:val="center"/>
          </w:tcPr>
          <w:p>
            <w:pPr>
              <w:spacing w:line="240" w:lineRule="auto"/>
              <w:jc w:val="center"/>
              <w:rPr>
                <w:rFonts w:hint="eastAsia" w:ascii="仿宋" w:hAnsi="仿宋" w:eastAsia="仿宋" w:cs="仿宋"/>
                <w:sz w:val="24"/>
                <w:szCs w:val="24"/>
                <w:lang w:val="en-US" w:eastAsia="zh-CN"/>
              </w:rPr>
            </w:pPr>
          </w:p>
        </w:tc>
        <w:tc>
          <w:tcPr>
            <w:tcW w:w="1215"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Times New Roman" w:hAnsi="Times New Roman" w:eastAsia="方正仿宋_GBK" w:cs="Times New Roman"/>
                <w:sz w:val="24"/>
                <w:szCs w:val="24"/>
              </w:rPr>
              <w:t>技术方案</w:t>
            </w:r>
          </w:p>
        </w:tc>
        <w:tc>
          <w:tcPr>
            <w:tcW w:w="870"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5355" w:type="dxa"/>
            <w:noWrap w:val="0"/>
            <w:vAlign w:val="center"/>
          </w:tcPr>
          <w:p>
            <w:pPr>
              <w:numPr>
                <w:ilvl w:val="0"/>
                <w:numId w:val="0"/>
              </w:num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根据投标人提供的针对本项目的技术方案进行综合评价。（内容应包括但不限于产品技术说明；方案规划；实施计划；数据迁移；项目管理；售后服务方案；原厂培训方案。）</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评分依据：</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方案科学合理，内容全面、实施性强，无缺陷，得3.2-4.0分；交付方案较好，内容较全面、实施性较强，无缺陷，得2.0-3.1分；交付方案一般，内容一般、实施性一般，无缺陷，得1.0-1.9分；不提供不得分。</w:t>
            </w:r>
          </w:p>
        </w:tc>
        <w:tc>
          <w:tcPr>
            <w:tcW w:w="1645" w:type="dxa"/>
            <w:noWrap w:val="0"/>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根据本项目实际情况，编制方案，格式自拟，并加盖公章。（缺陷是指脱离业务实际、凭空编造、逻辑错误、涉及的规范及标准错误、内容缺失）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07" w:type="dxa"/>
            <w:gridSpan w:val="2"/>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总分</w:t>
            </w:r>
          </w:p>
        </w:tc>
        <w:tc>
          <w:tcPr>
            <w:tcW w:w="870"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100分</w:t>
            </w:r>
          </w:p>
        </w:tc>
        <w:tc>
          <w:tcPr>
            <w:tcW w:w="5355" w:type="dxa"/>
            <w:noWrap w:val="0"/>
            <w:vAlign w:val="center"/>
          </w:tcPr>
          <w:p>
            <w:pPr>
              <w:spacing w:line="240" w:lineRule="auto"/>
              <w:jc w:val="center"/>
              <w:rPr>
                <w:rFonts w:hint="eastAsia" w:ascii="仿宋" w:hAnsi="仿宋" w:eastAsia="仿宋" w:cs="仿宋"/>
                <w:sz w:val="24"/>
                <w:szCs w:val="24"/>
                <w:lang w:val="en-US" w:eastAsia="zh-CN"/>
              </w:rPr>
            </w:pPr>
          </w:p>
        </w:tc>
        <w:tc>
          <w:tcPr>
            <w:tcW w:w="1645" w:type="dxa"/>
            <w:noWrap w:val="0"/>
            <w:vAlign w:val="center"/>
          </w:tcPr>
          <w:p>
            <w:pPr>
              <w:widowControl/>
              <w:spacing w:line="240" w:lineRule="auto"/>
              <w:ind w:firstLine="0" w:firstLineChars="0"/>
              <w:jc w:val="center"/>
              <w:rPr>
                <w:rFonts w:hint="eastAsia" w:ascii="宋体" w:hAnsi="宋体" w:eastAsia="宋体" w:cs="Courier New"/>
                <w:kern w:val="2"/>
                <w:sz w:val="24"/>
                <w:szCs w:val="24"/>
                <w:lang w:val="en-US" w:eastAsia="zh-CN" w:bidi="ar-SA"/>
              </w:rPr>
            </w:pPr>
          </w:p>
        </w:tc>
      </w:tr>
    </w:tbl>
    <w:p>
      <w:pPr>
        <w:spacing w:line="240" w:lineRule="auto"/>
        <w:rPr>
          <w:rFonts w:ascii="Calibri" w:hAnsi="Calibri" w:eastAsia="宋体" w:cs="Calibri"/>
          <w:sz w:val="21"/>
          <w:szCs w:val="21"/>
        </w:rPr>
      </w:pPr>
    </w:p>
    <w:p>
      <w:pPr>
        <w:snapToGrid w:val="0"/>
        <w:spacing w:line="3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根据项目报价与该项目权重分值，各项得分之和为总得分。总得分最高的供应商确定为成交供应商。若得分相同的供应商有两个及以上相同，则随机抽取确定成交供应商。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说明：</w:t>
      </w:r>
    </w:p>
    <w:p>
      <w:pPr>
        <w:numPr>
          <w:ilvl w:val="0"/>
          <w:numId w:val="0"/>
        </w:num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三、无效</w:t>
      </w:r>
      <w:bookmarkEnd w:id="266"/>
      <w:bookmarkEnd w:id="267"/>
      <w:bookmarkEnd w:id="268"/>
      <w:r>
        <w:rPr>
          <w:rFonts w:hint="default" w:ascii="Times New Roman" w:hAnsi="Times New Roman" w:eastAsia="方正仿宋_GBK" w:cs="Times New Roman"/>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napToGrid w:val="0"/>
        <w:spacing w:line="400" w:lineRule="exact"/>
        <w:ind w:firstLine="480" w:firstLineChars="200"/>
        <w:rPr>
          <w:rFonts w:hint="default" w:ascii="Times New Roman" w:hAnsi="Times New Roman" w:eastAsia="方正仿宋_GBK" w:cs="Times New Roman"/>
          <w:sz w:val="24"/>
          <w:szCs w:val="24"/>
        </w:rPr>
      </w:pPr>
      <w:bookmarkStart w:id="285" w:name="_Toc24929"/>
      <w:bookmarkStart w:id="286" w:name="_Toc7685"/>
      <w:bookmarkStart w:id="287" w:name="_Toc2990"/>
      <w:bookmarkStart w:id="288" w:name="_Toc65660353"/>
      <w:bookmarkStart w:id="289" w:name="_Toc27164"/>
      <w:bookmarkStart w:id="290" w:name="_Toc28195"/>
      <w:bookmarkStart w:id="291" w:name="_Toc29298"/>
      <w:bookmarkStart w:id="292" w:name="_Toc28422"/>
      <w:bookmarkStart w:id="293" w:name="_Toc5495"/>
      <w:bookmarkStart w:id="294" w:name="_Toc24809"/>
      <w:bookmarkStart w:id="295" w:name="_Toc22454"/>
      <w:bookmarkStart w:id="296" w:name="_Toc7833"/>
      <w:bookmarkStart w:id="297" w:name="_Toc22716"/>
      <w:bookmarkStart w:id="298" w:name="_Toc26968"/>
      <w:bookmarkStart w:id="299" w:name="_Toc16693"/>
      <w:bookmarkStart w:id="300" w:name="_Toc106034793"/>
      <w:bookmarkStart w:id="301" w:name="_Toc4650"/>
      <w:bookmarkStart w:id="302" w:name="_Toc29642"/>
      <w:bookmarkStart w:id="303" w:name="_Toc22934"/>
      <w:r>
        <w:rPr>
          <w:rFonts w:hint="default" w:ascii="Times New Roman" w:hAnsi="Times New Roman" w:eastAsia="方正仿宋_GBK" w:cs="Times New Roman"/>
          <w:sz w:val="24"/>
          <w:szCs w:val="24"/>
        </w:rPr>
        <w:t>供应商发生以下条款情况之一者，视为无效报价：</w:t>
      </w:r>
    </w:p>
    <w:p>
      <w:pPr>
        <w:snapToGrid w:val="0"/>
        <w:spacing w:line="40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（一）供应商不符合规定的基本资格条件或特定资格条件的；</w:t>
      </w:r>
    </w:p>
    <w:p>
      <w:pPr>
        <w:pStyle w:val="4"/>
        <w:spacing w:before="0" w:after="0" w:line="400" w:lineRule="exact"/>
        <w:ind w:firstLine="240" w:firstLineChars="1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（二）供应商的法定代表人或其授权代表未参加磋商；</w:t>
      </w:r>
    </w:p>
    <w:p>
      <w:pPr>
        <w:pStyle w:val="4"/>
        <w:spacing w:before="0" w:after="0" w:line="400" w:lineRule="exact"/>
        <w:ind w:firstLine="240" w:firstLineChars="1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（三）供应商所提交的响应文件不按第七篇“响应文件编制要求”规定签字、盖章；</w:t>
      </w:r>
    </w:p>
    <w:p>
      <w:pPr>
        <w:pStyle w:val="4"/>
        <w:spacing w:before="0" w:after="0" w:line="400" w:lineRule="exact"/>
        <w:ind w:firstLine="240" w:firstLineChars="100"/>
        <w:rPr>
          <w:rFonts w:hint="eastAsia" w:ascii="方正仿宋_GBK" w:hAnsi="宋体" w:eastAsia="方正仿宋_GBK"/>
          <w:b w:val="0"/>
          <w:color w:val="auto"/>
          <w:sz w:val="24"/>
          <w:szCs w:val="24"/>
          <w:highlight w:val="none"/>
        </w:rPr>
      </w:pPr>
      <w:r>
        <w:rPr>
          <w:rFonts w:hint="eastAsia" w:ascii="方正仿宋_GBK" w:hAnsi="宋体" w:eastAsia="方正仿宋_GBK"/>
          <w:b w:val="0"/>
          <w:color w:val="auto"/>
          <w:sz w:val="24"/>
          <w:szCs w:val="24"/>
          <w:highlight w:val="none"/>
        </w:rPr>
        <w:t>（四）供应商的最后报价超过采购预算的；</w:t>
      </w:r>
    </w:p>
    <w:p>
      <w:pPr>
        <w:pStyle w:val="4"/>
        <w:spacing w:before="0" w:after="0" w:line="400" w:lineRule="exact"/>
        <w:ind w:firstLine="240" w:firstLineChars="1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（五）法定代表人为同一个人的两个及两个以上法人，母公司、全资子公司及其控股公司，同时参与磋商；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（六）单位负责人为同一人或者存在直接控股、管理关系的不同供应商，同时参与磋商；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（七）为采购项目提供整体设计、规范编制或者项目管理、监理、检测等服务的供应商，再参加该采购项目的其他采购活动；</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（八）供应商的服务期、质量保证期及磋商有效期不满足竞争性磋商文件要求的；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（九）供应商响应文件内容有与国家现行法律法规相违背的内容，或附有采购人无法接受的条件；</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（十）供应商以联合体形式参与的；</w:t>
      </w:r>
    </w:p>
    <w:p>
      <w:pPr>
        <w:snapToGrid w:val="0"/>
        <w:spacing w:line="380" w:lineRule="exact"/>
        <w:ind w:firstLine="240" w:firstLineChars="100"/>
        <w:rPr>
          <w:rFonts w:hint="default" w:ascii="Times New Roman" w:hAnsi="Times New Roman" w:eastAsia="方正仿宋_GBK" w:cs="Times New Roman"/>
          <w:sz w:val="24"/>
          <w:szCs w:val="24"/>
        </w:rPr>
      </w:pPr>
      <w:r>
        <w:rPr>
          <w:rFonts w:hint="eastAsia" w:ascii="方正仿宋_GBK" w:hAnsi="宋体" w:eastAsia="方正仿宋_GBK"/>
          <w:color w:val="auto"/>
          <w:sz w:val="24"/>
          <w:szCs w:val="24"/>
        </w:rPr>
        <w:t>（十一）供应商被列入失信被执行人、重大税收违法案件当事人名单、政府采购严重违法失信行为记录名单及其他不符合《中华人民共和国政府采购法》第二十二条规定条件的。</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四、采购终止</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出现下列情形之一的，采购人应当终止</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采购活动，发布项目终止公告并说明原因，重新开展采购活动：</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（一）因情况变化，不再符合规定的</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采购方式适用情形的；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（二）出现影响采购公正的违法、违规行为的；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（三）在采购过程中符合竞争要求的供应商或者报价未超过采购预算的供应商不足3家的</w:t>
      </w:r>
      <w:r>
        <w:rPr>
          <w:rFonts w:hint="eastAsia" w:ascii="Times New Roman" w:hAnsi="Times New Roman" w:eastAsia="方正仿宋_GBK" w:cs="Times New Roman"/>
          <w:sz w:val="24"/>
          <w:szCs w:val="24"/>
          <w:lang w:eastAsia="zh-CN"/>
        </w:rPr>
        <w:t>，</w:t>
      </w:r>
      <w:r>
        <w:rPr>
          <w:rFonts w:hint="eastAsia" w:ascii="方正仿宋_GBK" w:hAnsi="宋体" w:eastAsia="方正仿宋_GBK"/>
          <w:color w:val="auto"/>
          <w:sz w:val="24"/>
          <w:szCs w:val="24"/>
        </w:rPr>
        <w:t>但《政府采购竞争性磋商采购方式管理暂行办法》第二十一条第三款规定的情形，以及财政部财库[2015]124号文件规定的情形除外。</w:t>
      </w:r>
      <w:r>
        <w:rPr>
          <w:rFonts w:hint="default" w:ascii="Times New Roman" w:hAnsi="Times New Roman" w:eastAsia="方正仿宋_GBK" w:cs="Times New Roman"/>
          <w:sz w:val="24"/>
          <w:szCs w:val="24"/>
        </w:rPr>
        <w:t>。</w:t>
      </w:r>
    </w:p>
    <w:p>
      <w:pPr>
        <w:pStyle w:val="4"/>
        <w:spacing w:before="0" w:after="0" w:line="360" w:lineRule="auto"/>
        <w:jc w:val="center"/>
        <w:rPr>
          <w:rFonts w:hint="default" w:ascii="Times New Roman" w:hAnsi="Times New Roman" w:eastAsia="方正小标宋_GBK" w:cs="Times New Roman"/>
          <w:b w:val="0"/>
          <w:sz w:val="36"/>
          <w:szCs w:val="30"/>
        </w:rPr>
      </w:pPr>
      <w:r>
        <w:rPr>
          <w:rFonts w:hint="default" w:ascii="Times New Roman" w:hAnsi="Times New Roman" w:eastAsia="方正仿宋_GBK" w:cs="Times New Roman"/>
          <w:sz w:val="24"/>
          <w:szCs w:val="24"/>
        </w:rPr>
        <w:br w:type="page"/>
      </w:r>
      <w:bookmarkStart w:id="304" w:name="_Toc5097"/>
      <w:bookmarkStart w:id="305" w:name="_Toc8916"/>
      <w:bookmarkStart w:id="306" w:name="_Toc15680"/>
      <w:bookmarkStart w:id="307" w:name="_Toc9009"/>
      <w:bookmarkStart w:id="308" w:name="_Toc4993"/>
      <w:bookmarkStart w:id="309" w:name="_Toc65660354"/>
      <w:bookmarkStart w:id="310" w:name="_Toc10768"/>
      <w:bookmarkStart w:id="311" w:name="_Toc19097"/>
      <w:bookmarkStart w:id="312" w:name="_Toc17610"/>
      <w:bookmarkStart w:id="313" w:name="_Toc20055"/>
      <w:bookmarkStart w:id="314" w:name="_Toc23979"/>
      <w:bookmarkStart w:id="315" w:name="_Toc4766"/>
      <w:bookmarkStart w:id="316" w:name="_Toc7321"/>
      <w:bookmarkStart w:id="317" w:name="_Toc7780"/>
      <w:bookmarkStart w:id="318" w:name="_Toc22225"/>
      <w:bookmarkStart w:id="319" w:name="_Toc7379"/>
      <w:bookmarkStart w:id="320" w:name="_Toc2092"/>
      <w:bookmarkStart w:id="321" w:name="_Toc13480"/>
      <w:bookmarkStart w:id="322" w:name="_Toc106034794"/>
      <w:r>
        <w:rPr>
          <w:rFonts w:hint="default" w:ascii="Times New Roman" w:hAnsi="Times New Roman" w:eastAsia="方正小标宋_GBK" w:cs="Times New Roman"/>
          <w:b w:val="0"/>
          <w:sz w:val="36"/>
          <w:szCs w:val="30"/>
        </w:rPr>
        <w:t>第五篇  供应商须知</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23" w:name="_Toc17418"/>
      <w:bookmarkStart w:id="324" w:name="_Toc24341"/>
      <w:bookmarkStart w:id="325" w:name="_Toc28707"/>
      <w:bookmarkStart w:id="326" w:name="_Toc5536"/>
      <w:bookmarkStart w:id="327" w:name="_Toc2864"/>
      <w:bookmarkStart w:id="328" w:name="_Toc12204"/>
      <w:bookmarkStart w:id="329" w:name="_Toc31018"/>
      <w:bookmarkStart w:id="330" w:name="_Toc26419"/>
      <w:bookmarkStart w:id="331" w:name="_Toc20923"/>
      <w:bookmarkStart w:id="332" w:name="_Toc16781"/>
      <w:bookmarkStart w:id="333" w:name="_Toc65660355"/>
      <w:bookmarkStart w:id="334" w:name="_Toc5246"/>
      <w:bookmarkStart w:id="335" w:name="_Toc16524"/>
      <w:bookmarkStart w:id="336" w:name="_Toc106034795"/>
      <w:bookmarkStart w:id="337" w:name="_Toc5290"/>
      <w:bookmarkStart w:id="338" w:name="_Toc15359"/>
      <w:bookmarkStart w:id="339" w:name="_Toc29292"/>
      <w:bookmarkStart w:id="340" w:name="_Toc31784"/>
      <w:bookmarkStart w:id="341" w:name="_Toc9784"/>
      <w:r>
        <w:rPr>
          <w:rFonts w:hint="default" w:ascii="Times New Roman" w:hAnsi="Times New Roman" w:eastAsia="方正仿宋_GBK" w:cs="Times New Roman"/>
          <w:sz w:val="24"/>
        </w:rPr>
        <w:t>一、</w:t>
      </w:r>
      <w:r>
        <w:rPr>
          <w:rFonts w:hint="eastAsia" w:ascii="Times New Roman" w:hAnsi="Times New Roman" w:eastAsia="方正仿宋_GBK" w:cs="Times New Roman"/>
          <w:sz w:val="24"/>
          <w:lang w:eastAsia="zh-CN"/>
        </w:rPr>
        <w:t>磋商</w:t>
      </w:r>
      <w:r>
        <w:rPr>
          <w:rFonts w:hint="default" w:ascii="Times New Roman" w:hAnsi="Times New Roman" w:eastAsia="方正仿宋_GBK" w:cs="Times New Roman"/>
          <w:sz w:val="24"/>
        </w:rPr>
        <w:t>费用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246"/>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参与报价的供应商应承担其编制响应文件与递交响应文件所涉及的一切费用，不论</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结果如何，采购人在任何情况下无义务也无责任承担这些费用。</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42" w:name="_Toc25495"/>
      <w:bookmarkStart w:id="343" w:name="_Toc30759"/>
      <w:bookmarkStart w:id="344" w:name="_Toc27772"/>
      <w:bookmarkStart w:id="345" w:name="_Toc19706"/>
      <w:bookmarkStart w:id="346" w:name="_Toc31070"/>
      <w:bookmarkStart w:id="347" w:name="_Toc634"/>
      <w:bookmarkStart w:id="348" w:name="_Toc7182"/>
      <w:bookmarkStart w:id="349" w:name="_Toc5915"/>
      <w:bookmarkStart w:id="350" w:name="_Toc65660356"/>
      <w:bookmarkStart w:id="351" w:name="_Toc20090"/>
      <w:bookmarkStart w:id="352" w:name="_Toc5115"/>
      <w:bookmarkStart w:id="353" w:name="_Toc4069"/>
      <w:bookmarkStart w:id="354" w:name="_Toc26145"/>
      <w:bookmarkStart w:id="355" w:name="_Toc31739"/>
      <w:bookmarkStart w:id="356" w:name="_Toc2645"/>
      <w:bookmarkStart w:id="357" w:name="_Toc3687"/>
      <w:bookmarkStart w:id="358" w:name="_Toc30971"/>
      <w:bookmarkStart w:id="359" w:name="_Toc7080"/>
      <w:bookmarkStart w:id="360" w:name="_Toc106034796"/>
      <w:r>
        <w:rPr>
          <w:rFonts w:hint="default" w:ascii="Times New Roman" w:hAnsi="Times New Roman" w:eastAsia="方正仿宋_GBK" w:cs="Times New Roman"/>
          <w:sz w:val="24"/>
        </w:rPr>
        <w:t>二、</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ascii="Times New Roman" w:hAnsi="Times New Roman" w:eastAsia="方正仿宋_GBK" w:cs="Times New Roman"/>
          <w:sz w:val="24"/>
          <w:lang w:eastAsia="zh-CN"/>
        </w:rPr>
        <w:t>竞争性磋商文件</w:t>
      </w:r>
      <w:r>
        <w:rPr>
          <w:rFonts w:hint="default" w:ascii="Times New Roman" w:hAnsi="Times New Roman" w:eastAsia="方正仿宋_GBK" w:cs="Times New Roman"/>
          <w:sz w:val="24"/>
        </w:rPr>
        <w:tab/>
      </w:r>
    </w:p>
    <w:p>
      <w:pPr>
        <w:snapToGrid w:val="0"/>
        <w:spacing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采购人所作的一切有效的书面通知、修改及补充，都是</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不可分割的部分。</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61" w:name="_Toc10191"/>
      <w:bookmarkStart w:id="362" w:name="_Toc14761"/>
      <w:bookmarkStart w:id="363" w:name="_Toc3061"/>
      <w:bookmarkStart w:id="364" w:name="_Toc32633"/>
      <w:bookmarkStart w:id="365" w:name="_Toc3828"/>
      <w:bookmarkStart w:id="366" w:name="_Toc9532"/>
      <w:bookmarkStart w:id="367" w:name="_Toc11803"/>
      <w:bookmarkStart w:id="368" w:name="_Toc31871"/>
      <w:bookmarkStart w:id="369" w:name="_Toc11966"/>
      <w:bookmarkStart w:id="370" w:name="_Toc65660357"/>
      <w:bookmarkStart w:id="371" w:name="_Toc22782"/>
      <w:bookmarkStart w:id="372" w:name="_Toc106034797"/>
      <w:bookmarkStart w:id="373" w:name="_Toc25249"/>
      <w:bookmarkStart w:id="374" w:name="_Toc12273"/>
      <w:bookmarkStart w:id="375" w:name="_Toc6634"/>
      <w:bookmarkStart w:id="376" w:name="_Toc27316"/>
      <w:bookmarkStart w:id="377" w:name="_Toc1922"/>
      <w:bookmarkStart w:id="378" w:name="_Toc25843"/>
      <w:bookmarkStart w:id="379" w:name="_Toc6849"/>
      <w:r>
        <w:rPr>
          <w:rFonts w:hint="default" w:ascii="Times New Roman" w:hAnsi="Times New Roman" w:eastAsia="方正仿宋_GBK" w:cs="Times New Roman"/>
          <w:sz w:val="24"/>
        </w:rPr>
        <w:t>三、报价要求</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napToGrid w:val="0"/>
        <w:spacing w:line="400" w:lineRule="exact"/>
        <w:ind w:firstLine="360" w:firstLineChars="150"/>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（一）响应文件</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供应商应当按照</w:t>
      </w:r>
      <w:r>
        <w:rPr>
          <w:rFonts w:hint="eastAsia" w:ascii="Times New Roman" w:hAnsi="Times New Roman" w:eastAsia="方正仿宋_GBK" w:cs="Times New Roman"/>
          <w:sz w:val="24"/>
          <w:szCs w:val="24"/>
          <w:lang w:val="en-US" w:eastAsia="zh-CN"/>
        </w:rPr>
        <w:t>竞争性磋商文件</w:t>
      </w:r>
      <w:r>
        <w:rPr>
          <w:rFonts w:hint="default" w:ascii="Times New Roman" w:hAnsi="Times New Roman" w:eastAsia="方正仿宋_GBK" w:cs="Times New Roman"/>
          <w:sz w:val="24"/>
          <w:szCs w:val="24"/>
          <w:lang w:val="en-US" w:eastAsia="zh-CN"/>
        </w:rPr>
        <w:t>的要求编制响应文件，并对</w:t>
      </w:r>
      <w:r>
        <w:rPr>
          <w:rFonts w:hint="eastAsia" w:ascii="Times New Roman" w:hAnsi="Times New Roman" w:eastAsia="方正仿宋_GBK" w:cs="Times New Roman"/>
          <w:sz w:val="24"/>
          <w:szCs w:val="24"/>
          <w:lang w:val="en-US" w:eastAsia="zh-CN"/>
        </w:rPr>
        <w:t>竞争性磋商文件</w:t>
      </w:r>
      <w:r>
        <w:rPr>
          <w:rFonts w:hint="default" w:ascii="Times New Roman" w:hAnsi="Times New Roman" w:eastAsia="方正仿宋_GBK" w:cs="Times New Roman"/>
          <w:sz w:val="24"/>
          <w:szCs w:val="24"/>
          <w:lang w:val="en-US" w:eastAsia="zh-CN"/>
        </w:rPr>
        <w:t>提出的要求和条件作出实质性响应。</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1.响应文件组成</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响应文件由“第</w:t>
      </w:r>
      <w:r>
        <w:rPr>
          <w:rFonts w:hint="eastAsia"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lang w:val="en-US" w:eastAsia="zh-CN"/>
        </w:rPr>
        <w:t>篇响应文件格式要求”规定的部分和供应商所作的一切有效补充、修改和承诺等文件组成，供应商应按照“第</w:t>
      </w:r>
      <w:r>
        <w:rPr>
          <w:rFonts w:hint="eastAsia"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lang w:val="en-US" w:eastAsia="zh-CN"/>
        </w:rPr>
        <w:t>篇响应文件格式”规定进行编写，也可在基本格式基础上对表格进行扩展，未规定格式的由供应商自定格式。</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2.报价有效期：响应文件及有关承诺文件有效期为提交响应文件截止时间起90天。</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（二）修正错误</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若响应文件出现计算或表达上的错误，修正错误的原则如下：</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1.响应文件中开标一览表（报价表）内容与响应文件中相应内容不一致的，以开标一览表（报价表）为准；</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2.大写金额和小写金额不一致的，以大写金额为准；</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3.单价金额小数点或者百分比有明显错位的，以开标一览表的总价为准，并修改单价；</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4.总价金额与按单价汇总金额不一致的，以单价金额计算结果为准。</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磋商</w:t>
      </w:r>
      <w:r>
        <w:rPr>
          <w:rFonts w:hint="default" w:ascii="Times New Roman" w:hAnsi="Times New Roman" w:eastAsia="方正仿宋_GBK" w:cs="Times New Roman"/>
          <w:sz w:val="24"/>
          <w:szCs w:val="24"/>
          <w:lang w:val="en-US" w:eastAsia="zh-CN"/>
        </w:rPr>
        <w:t>小组或采购人按上述修正错误的原则及方法修正供应商的报价，供应商同意并签署确认后，修正后的报价对供应商具有约束作用。如果供应商不接受修正后的价格，将视为无效报价。</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（四）提交响应文件的签署</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1.在响应文件中，</w:t>
      </w:r>
      <w:r>
        <w:rPr>
          <w:rFonts w:hint="eastAsia" w:ascii="Times New Roman" w:hAnsi="Times New Roman" w:eastAsia="方正仿宋_GBK" w:cs="Times New Roman"/>
          <w:sz w:val="24"/>
          <w:szCs w:val="24"/>
          <w:lang w:val="en-US" w:eastAsia="zh-CN"/>
        </w:rPr>
        <w:t>竞争性磋商文件</w:t>
      </w:r>
      <w:r>
        <w:rPr>
          <w:rFonts w:hint="default" w:ascii="Times New Roman" w:hAnsi="Times New Roman" w:eastAsia="方正仿宋_GBK" w:cs="Times New Roman"/>
          <w:sz w:val="24"/>
          <w:szCs w:val="24"/>
          <w:lang w:val="en-US" w:eastAsia="zh-CN"/>
        </w:rPr>
        <w:t>第</w:t>
      </w:r>
      <w:r>
        <w:rPr>
          <w:rFonts w:hint="eastAsia"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lang w:val="en-US" w:eastAsia="zh-CN"/>
        </w:rPr>
        <w:t>篇响应文件格式中规定签署、盖章的地方必须按其规定签署、盖章。</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2若供应商对响应文件的错处作必要修改，则应在修改处加盖供应商公章或由法定代表人（或其授权代表）或自然人（供应商为自然人）签署确认。</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3.电报、电话、传真形式的响应文件概不接受。</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（五）响应文件的递交</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响应文件</w:t>
      </w:r>
      <w:r>
        <w:rPr>
          <w:rFonts w:hint="eastAsia" w:ascii="Times New Roman" w:hAnsi="Times New Roman" w:eastAsia="方正仿宋_GBK" w:cs="Times New Roman"/>
          <w:sz w:val="24"/>
          <w:szCs w:val="24"/>
          <w:lang w:val="en-US" w:eastAsia="zh-CN"/>
        </w:rPr>
        <w:t>需</w:t>
      </w:r>
      <w:r>
        <w:rPr>
          <w:rFonts w:hint="default" w:ascii="Times New Roman" w:hAnsi="Times New Roman" w:eastAsia="方正仿宋_GBK" w:cs="Times New Roman"/>
          <w:sz w:val="24"/>
          <w:szCs w:val="24"/>
          <w:lang w:val="en-US" w:eastAsia="zh-CN"/>
        </w:rPr>
        <w:t>按规定上传</w:t>
      </w:r>
      <w:r>
        <w:rPr>
          <w:rFonts w:hint="eastAsia" w:ascii="Times New Roman" w:hAnsi="Times New Roman" w:eastAsia="方正仿宋_GBK" w:cs="Times New Roman"/>
          <w:sz w:val="24"/>
          <w:szCs w:val="24"/>
          <w:lang w:val="en-US" w:eastAsia="zh-CN"/>
        </w:rPr>
        <w:t>电子件，并送达纸质件</w:t>
      </w:r>
      <w:r>
        <w:rPr>
          <w:rFonts w:hint="default" w:ascii="Times New Roman" w:hAnsi="Times New Roman" w:eastAsia="方正仿宋_GBK" w:cs="Times New Roman"/>
          <w:sz w:val="24"/>
          <w:szCs w:val="24"/>
          <w:lang w:val="en-US" w:eastAsia="zh-CN"/>
        </w:rPr>
        <w:t>；</w:t>
      </w:r>
    </w:p>
    <w:p>
      <w:pPr>
        <w:adjustRightInd/>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（六）响应文件语言：简体中文</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80" w:name="_Toc6242"/>
      <w:bookmarkStart w:id="381" w:name="_Toc18573"/>
      <w:bookmarkStart w:id="382" w:name="_Toc23344"/>
      <w:bookmarkStart w:id="383" w:name="_Toc14702"/>
      <w:bookmarkStart w:id="384" w:name="_Toc106034798"/>
      <w:bookmarkStart w:id="385" w:name="_Toc25750"/>
      <w:bookmarkStart w:id="386" w:name="_Toc17281"/>
      <w:bookmarkStart w:id="387" w:name="_Toc7236"/>
      <w:bookmarkStart w:id="388" w:name="_Toc20945"/>
      <w:bookmarkStart w:id="389" w:name="_Toc16185"/>
      <w:bookmarkStart w:id="390" w:name="_Toc10172"/>
      <w:bookmarkStart w:id="391" w:name="_Toc22843"/>
      <w:bookmarkStart w:id="392" w:name="_Toc32312"/>
      <w:bookmarkStart w:id="393" w:name="_Toc14344"/>
      <w:bookmarkStart w:id="394" w:name="_Toc18304"/>
      <w:bookmarkStart w:id="395" w:name="_Toc65660358"/>
      <w:bookmarkStart w:id="396" w:name="_Toc3337"/>
      <w:bookmarkStart w:id="397" w:name="_Toc21439"/>
      <w:bookmarkStart w:id="398" w:name="_Toc24859"/>
      <w:r>
        <w:rPr>
          <w:rFonts w:hint="default" w:ascii="Times New Roman" w:hAnsi="Times New Roman" w:eastAsia="方正仿宋_GBK" w:cs="Times New Roman"/>
          <w:sz w:val="24"/>
        </w:rPr>
        <w:t>四、成交供应商的确定和变更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napToGrid w:val="0"/>
        <w:spacing w:line="380" w:lineRule="exact"/>
        <w:ind w:firstLine="360" w:firstLineChars="150"/>
        <w:rPr>
          <w:rFonts w:hint="eastAsia" w:ascii="方正仿宋_GBK" w:hAnsi="宋体" w:eastAsia="方正仿宋_GBK" w:cs="Times New Roman"/>
          <w:color w:val="auto"/>
          <w:sz w:val="24"/>
          <w:szCs w:val="24"/>
        </w:rPr>
      </w:pPr>
      <w:bookmarkStart w:id="399" w:name="_Toc10414"/>
      <w:bookmarkStart w:id="400" w:name="_Toc20749"/>
      <w:bookmarkStart w:id="401" w:name="_Toc29821"/>
      <w:bookmarkStart w:id="402" w:name="_Toc65660359"/>
      <w:bookmarkStart w:id="403" w:name="_Toc1092"/>
      <w:bookmarkStart w:id="404" w:name="_Toc10504"/>
      <w:bookmarkStart w:id="405" w:name="_Toc19508"/>
      <w:bookmarkStart w:id="406" w:name="_Toc23961"/>
      <w:bookmarkStart w:id="407" w:name="_Toc29306"/>
      <w:bookmarkStart w:id="408" w:name="_Toc7162"/>
      <w:bookmarkStart w:id="409" w:name="_Toc22054"/>
      <w:bookmarkStart w:id="410" w:name="_Toc8526"/>
      <w:bookmarkStart w:id="411" w:name="_Toc12096"/>
      <w:bookmarkStart w:id="412" w:name="_Toc20351"/>
      <w:bookmarkStart w:id="413" w:name="_Toc106034799"/>
      <w:bookmarkStart w:id="414" w:name="_Toc32540"/>
      <w:bookmarkStart w:id="415" w:name="_Toc31005"/>
      <w:bookmarkStart w:id="416" w:name="_Toc25601"/>
      <w:bookmarkStart w:id="417" w:name="_Toc21970"/>
      <w:r>
        <w:rPr>
          <w:rFonts w:hint="eastAsia" w:ascii="方正仿宋_GBK" w:hAnsi="宋体" w:eastAsia="方正仿宋_GBK" w:cs="Times New Roman"/>
          <w:color w:val="auto"/>
          <w:sz w:val="24"/>
          <w:szCs w:val="24"/>
        </w:rPr>
        <w:t>（一）成交供应商的确认</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该项目经综合评审，按照得分排序由高到低的原则确定成交供应商，采购人应当在评审结束后2个工作日内公示采购结果。</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（二）成交供应商的变更</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1.若成交供应商因不可抗力或者自身原因不能履行合同的，采购人可以确定排名其后一位的成交候选人为成交供应商，也可以重新开展采购活动。</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2成交供应商无充分理由放弃成交的，按其他相关规定进行处理。</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五、成交通知</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Style w:val="34"/>
        <w:spacing w:line="240"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仿宋" w:cs="Times New Roman"/>
          <w:color w:val="auto"/>
          <w:sz w:val="24"/>
          <w:szCs w:val="24"/>
        </w:rPr>
        <w:t>成交供应商确定后，采购人将在</w:t>
      </w:r>
      <w:r>
        <w:rPr>
          <w:rFonts w:hint="eastAsia" w:ascii="Times New Roman" w:hAnsi="Times New Roman" w:eastAsia="仿宋" w:cs="Times New Roman"/>
          <w:color w:val="auto"/>
          <w:sz w:val="24"/>
          <w:szCs w:val="24"/>
          <w:lang w:val="en-US" w:eastAsia="zh-CN"/>
        </w:rPr>
        <w:t>重庆市第七人民医院官网</w:t>
      </w:r>
      <w:r>
        <w:rPr>
          <w:rFonts w:hint="eastAsia" w:ascii="Times New Roman" w:hAnsi="Times New Roman" w:eastAsia="仿宋" w:cs="Times New Roman"/>
          <w:color w:val="auto"/>
          <w:sz w:val="24"/>
          <w:szCs w:val="24"/>
        </w:rPr>
        <w:t>（www.cq7y.com）</w:t>
      </w:r>
      <w:r>
        <w:rPr>
          <w:rFonts w:hint="default" w:ascii="Times New Roman" w:hAnsi="Times New Roman" w:eastAsia="仿宋" w:cs="Times New Roman"/>
          <w:color w:val="auto"/>
          <w:sz w:val="24"/>
          <w:szCs w:val="24"/>
        </w:rPr>
        <w:t>上发布成交结果公告。</w:t>
      </w:r>
    </w:p>
    <w:p>
      <w:pPr>
        <w:spacing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（二）结果公告发出同时，采购</w:t>
      </w:r>
      <w:r>
        <w:rPr>
          <w:rFonts w:hint="default"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将以书面形式发出《成交通知书》。《成交通知书》一经发出即发生法律效力。</w:t>
      </w:r>
    </w:p>
    <w:p>
      <w:pPr>
        <w:spacing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（三）《成交通知书》将作为签订合同的依据。</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18" w:name="_Toc10005"/>
      <w:bookmarkStart w:id="419" w:name="_Toc20466"/>
      <w:bookmarkStart w:id="420" w:name="_Toc19302"/>
      <w:bookmarkStart w:id="421" w:name="_Toc423"/>
      <w:bookmarkStart w:id="422" w:name="_Toc31082"/>
      <w:bookmarkStart w:id="423" w:name="_Toc21483"/>
      <w:bookmarkStart w:id="424" w:name="_Toc29357"/>
      <w:bookmarkStart w:id="425" w:name="_Toc15873"/>
      <w:bookmarkStart w:id="426" w:name="_Toc65660360"/>
      <w:bookmarkStart w:id="427" w:name="_Toc30909"/>
      <w:bookmarkStart w:id="428" w:name="_Toc4133"/>
      <w:bookmarkStart w:id="429" w:name="_Toc10330"/>
      <w:bookmarkStart w:id="430" w:name="_Toc106034800"/>
      <w:bookmarkStart w:id="431" w:name="_Toc14049"/>
      <w:bookmarkStart w:id="432" w:name="_Toc17494"/>
      <w:bookmarkStart w:id="433" w:name="_Toc13689"/>
      <w:bookmarkStart w:id="434" w:name="_Toc14406"/>
      <w:bookmarkStart w:id="435" w:name="_Toc28485"/>
      <w:bookmarkStart w:id="436" w:name="_Toc1010"/>
      <w:r>
        <w:rPr>
          <w:rFonts w:hint="default" w:ascii="Times New Roman" w:hAnsi="Times New Roman" w:eastAsia="方正仿宋_GBK" w:cs="Times New Roman"/>
          <w:sz w:val="24"/>
        </w:rPr>
        <w:t>六、关于质疑和投诉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400" w:lineRule="exact"/>
        <w:ind w:firstLine="360" w:firstLineChars="150"/>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（一）质疑</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供应商认为采购文件、采购过程和成交结果使自己的权益收到伤害的，可向采购人以书面形式提出质疑。</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提出质疑的应当是参与所质疑项目采购活动的供应商。 </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1.质疑时限、内容</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1.2供应商提出质疑应当提交质疑函和必要的证明材料，质疑函应当包括下列内容：</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1.2.1供应商的姓名或者名称、地址、邮编、联系人及联系电话；</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1.2.2</w:t>
      </w:r>
      <w:r>
        <w:rPr>
          <w:rFonts w:hint="default" w:ascii="Times New Roman" w:hAnsi="Times New Roman" w:eastAsia="方正仿宋_GBK" w:cs="Times New Roman"/>
          <w:sz w:val="24"/>
          <w:szCs w:val="24"/>
        </w:rPr>
        <w:t>质疑项目的项目名称、项目号以及采购执行编号</w:t>
      </w:r>
      <w:r>
        <w:rPr>
          <w:rFonts w:hint="default" w:ascii="Times New Roman" w:hAnsi="Times New Roman" w:eastAsia="方正仿宋_GBK" w:cs="Times New Roman"/>
          <w:sz w:val="24"/>
        </w:rPr>
        <w:t>；</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1.2.3具体、明确的质疑事项和与质疑事项相关的请求；</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1.2.4事实依据；</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1.2.5必要的法律依据；</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1.2.6提出质疑的日期；</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1.2.7营业执照（或事业单位法人证书，或个体工商户营业执照或有效的自然人身份证明）复印件；</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2.质疑答复</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采购人应当在收到供应商的书面质疑后七个工作日内作出答复，并以书面形式通知质疑供应商和其他有关供应商。</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3.其他</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3.2质疑函范本可在财政部门户网站和中国政府采购网下载。</w:t>
      </w:r>
    </w:p>
    <w:p>
      <w:pPr>
        <w:spacing w:line="400" w:lineRule="exact"/>
        <w:ind w:right="12" w:firstLine="480"/>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（二）投诉</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1.供应商对采购人的答复不满意，或者采购人未在规定时间内作出答复的，可以在答复期满后15个工作日内按照相关法律法规向财政部门提起投诉。</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37" w:name="_Toc20209"/>
      <w:bookmarkStart w:id="438" w:name="_Toc3127"/>
      <w:bookmarkStart w:id="439" w:name="_Toc22285"/>
      <w:bookmarkStart w:id="440" w:name="_Toc10976"/>
      <w:bookmarkStart w:id="441" w:name="_Toc1530"/>
      <w:bookmarkStart w:id="442" w:name="_Toc27674"/>
      <w:bookmarkStart w:id="443" w:name="_Toc106034801"/>
      <w:bookmarkStart w:id="444" w:name="_Toc16648"/>
      <w:bookmarkStart w:id="445" w:name="_Toc3707"/>
      <w:bookmarkStart w:id="446" w:name="_Toc23778"/>
      <w:bookmarkStart w:id="447" w:name="_Toc2029"/>
      <w:bookmarkStart w:id="448" w:name="_Toc24088"/>
      <w:bookmarkStart w:id="449" w:name="_Toc9399"/>
      <w:bookmarkStart w:id="450" w:name="_Toc32088"/>
      <w:bookmarkStart w:id="451" w:name="_Toc26892"/>
      <w:bookmarkStart w:id="452" w:name="_Toc20336"/>
      <w:bookmarkStart w:id="453" w:name="_Toc2923"/>
      <w:bookmarkStart w:id="454" w:name="_Toc65660361"/>
      <w:bookmarkStart w:id="455" w:name="_Toc6051"/>
      <w:r>
        <w:rPr>
          <w:rFonts w:hint="default" w:ascii="Times New Roman" w:hAnsi="Times New Roman" w:eastAsia="方正仿宋_GBK" w:cs="Times New Roman"/>
          <w:sz w:val="24"/>
        </w:rPr>
        <w:t>七、签订合同</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keepNext w:val="0"/>
        <w:keepLines w:val="0"/>
        <w:pageBreakBefore w:val="0"/>
        <w:widowControl/>
        <w:kinsoku/>
        <w:wordWrap/>
        <w:overflowPunct/>
        <w:topLinePunct w:val="0"/>
        <w:autoSpaceDE/>
        <w:autoSpaceDN/>
        <w:bidi w:val="0"/>
        <w:adjustRightInd w:val="0"/>
        <w:spacing w:line="480" w:lineRule="exact"/>
        <w:ind w:firstLine="420" w:firstLineChars="0"/>
        <w:textAlignment w:val="auto"/>
        <w:rPr>
          <w:rFonts w:hint="default" w:ascii="Times New Roman" w:hAnsi="Times New Roman" w:eastAsia="仿宋_GB2312" w:cs="Times New Roman"/>
          <w:sz w:val="32"/>
          <w:szCs w:val="28"/>
        </w:rPr>
      </w:pPr>
      <w:r>
        <w:rPr>
          <w:rFonts w:hint="default" w:ascii="Times New Roman" w:hAnsi="Times New Roman" w:eastAsia="方正仿宋_GBK" w:cs="Times New Roman"/>
          <w:sz w:val="24"/>
          <w:szCs w:val="24"/>
        </w:rPr>
        <w:t>成交供应商应在领取成交通知书后</w:t>
      </w:r>
      <w:r>
        <w:rPr>
          <w:rFonts w:hint="default" w:ascii="Times New Roman" w:hAnsi="Times New Roman" w:eastAsia="方正仿宋_GBK" w:cs="Times New Roman"/>
          <w:sz w:val="24"/>
          <w:szCs w:val="24"/>
          <w:lang w:val="en-US" w:eastAsia="zh-CN"/>
        </w:rPr>
        <w:t>10</w:t>
      </w:r>
      <w:r>
        <w:rPr>
          <w:rFonts w:hint="eastAsia" w:ascii="Times New Roman" w:hAnsi="Times New Roman" w:eastAsia="方正仿宋_GBK" w:cs="Times New Roman"/>
          <w:sz w:val="24"/>
          <w:szCs w:val="24"/>
          <w:lang w:val="en-US" w:eastAsia="zh-CN"/>
        </w:rPr>
        <w:t>个日历日</w:t>
      </w:r>
      <w:r>
        <w:rPr>
          <w:rFonts w:hint="default" w:ascii="Times New Roman" w:hAnsi="Times New Roman" w:eastAsia="方正仿宋_GBK" w:cs="Times New Roman"/>
          <w:sz w:val="24"/>
          <w:szCs w:val="24"/>
        </w:rPr>
        <w:t>内，按照</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和其提交的</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文件与采购人签订采购合同。成交供应商逾期或拒绝或不按成交状态签订合同的，按政府采购法的有关规定进行严肃处理。</w:t>
      </w:r>
    </w:p>
    <w:bookmarkEnd w:id="224"/>
    <w:p>
      <w:pPr>
        <w:pStyle w:val="4"/>
        <w:spacing w:before="0" w:after="0" w:line="360" w:lineRule="auto"/>
        <w:jc w:val="center"/>
        <w:rPr>
          <w:rFonts w:hint="default" w:ascii="Times New Roman" w:hAnsi="Times New Roman" w:eastAsia="方正小标宋_GBK" w:cs="Times New Roman"/>
          <w:b/>
          <w:sz w:val="44"/>
          <w:szCs w:val="44"/>
          <w:lang w:val="en-US" w:eastAsia="zh-CN"/>
        </w:rPr>
        <w:sectPr>
          <w:pgSz w:w="11907" w:h="16840"/>
          <w:pgMar w:top="1134" w:right="1191" w:bottom="1134" w:left="1304" w:header="964" w:footer="992" w:gutter="0"/>
          <w:paperSrc/>
          <w:pgNumType w:fmt="numberInDash"/>
          <w:cols w:space="720" w:num="1"/>
          <w:rtlGutter w:val="0"/>
          <w:docGrid w:linePitch="312" w:charSpace="0"/>
        </w:sectPr>
      </w:pPr>
      <w:bookmarkStart w:id="456" w:name="_Toc10599"/>
      <w:bookmarkStart w:id="457" w:name="_Toc7958"/>
      <w:bookmarkStart w:id="458" w:name="_Toc28162"/>
      <w:bookmarkStart w:id="459" w:name="_Toc11641055"/>
      <w:bookmarkStart w:id="460" w:name="_Toc1294"/>
      <w:bookmarkStart w:id="461" w:name="_Toc106034806"/>
      <w:bookmarkStart w:id="462" w:name="_Toc65660365"/>
      <w:bookmarkStart w:id="463" w:name="_Toc2474"/>
      <w:bookmarkStart w:id="464" w:name="_Toc4880"/>
      <w:bookmarkStart w:id="465" w:name="_Toc14861"/>
      <w:bookmarkStart w:id="466" w:name="_Toc12789059"/>
    </w:p>
    <w:p>
      <w:pPr>
        <w:pStyle w:val="4"/>
        <w:spacing w:before="0" w:after="0" w:line="360" w:lineRule="auto"/>
        <w:jc w:val="center"/>
        <w:rPr>
          <w:rFonts w:hint="default" w:ascii="Times New Roman" w:hAnsi="Times New Roman" w:eastAsia="方正小标宋_GBK" w:cs="Times New Roman"/>
          <w:b/>
          <w:sz w:val="44"/>
          <w:szCs w:val="44"/>
          <w:lang w:val="en-US" w:eastAsia="zh-CN"/>
        </w:rPr>
      </w:pPr>
      <w:bookmarkStart w:id="467" w:name="_Toc18985"/>
      <w:bookmarkStart w:id="468" w:name="_Toc14466"/>
      <w:bookmarkStart w:id="469" w:name="_Toc18892"/>
      <w:bookmarkStart w:id="470" w:name="_Toc30371"/>
      <w:bookmarkStart w:id="471" w:name="_Toc32720"/>
      <w:bookmarkStart w:id="472" w:name="_Toc24530"/>
      <w:bookmarkStart w:id="473" w:name="_Toc4898"/>
      <w:bookmarkStart w:id="474" w:name="_Toc21603"/>
      <w:bookmarkStart w:id="475" w:name="_Toc5718"/>
      <w:bookmarkStart w:id="476" w:name="_Toc4731"/>
      <w:r>
        <w:rPr>
          <w:rFonts w:hint="default" w:ascii="Times New Roman" w:hAnsi="Times New Roman" w:eastAsia="方正小标宋_GBK" w:cs="Times New Roman"/>
          <w:b/>
          <w:sz w:val="44"/>
          <w:szCs w:val="44"/>
          <w:lang w:val="en-US" w:eastAsia="zh-CN"/>
        </w:rPr>
        <w:t xml:space="preserve">第六篇 </w:t>
      </w:r>
      <w:r>
        <w:rPr>
          <w:rFonts w:hint="default" w:ascii="Times New Roman" w:hAnsi="Times New Roman" w:eastAsia="方正小标宋_GBK" w:cs="Times New Roman"/>
          <w:sz w:val="44"/>
          <w:szCs w:val="44"/>
        </w:rPr>
        <w:t>采购</w:t>
      </w:r>
      <w:r>
        <w:rPr>
          <w:rFonts w:hint="eastAsia" w:ascii="Times New Roman" w:hAnsi="Times New Roman" w:eastAsia="方正小标宋_GBK" w:cs="Times New Roman"/>
          <w:sz w:val="44"/>
          <w:szCs w:val="44"/>
          <w:lang w:val="en-US" w:eastAsia="zh-CN"/>
        </w:rPr>
        <w:t>服务</w:t>
      </w:r>
      <w:r>
        <w:rPr>
          <w:rFonts w:hint="default" w:ascii="Times New Roman" w:hAnsi="Times New Roman" w:eastAsia="方正小标宋_GBK" w:cs="Times New Roman"/>
          <w:sz w:val="44"/>
          <w:szCs w:val="44"/>
        </w:rPr>
        <w:t>合同</w:t>
      </w:r>
      <w:bookmarkEnd w:id="467"/>
      <w:bookmarkEnd w:id="468"/>
      <w:bookmarkEnd w:id="469"/>
      <w:bookmarkEnd w:id="470"/>
      <w:bookmarkEnd w:id="471"/>
      <w:bookmarkEnd w:id="472"/>
      <w:bookmarkEnd w:id="473"/>
      <w:bookmarkEnd w:id="474"/>
      <w:bookmarkEnd w:id="475"/>
      <w:bookmarkEnd w:id="476"/>
    </w:p>
    <w:p>
      <w:pPr>
        <w:spacing w:line="600" w:lineRule="exact"/>
        <w:jc w:val="left"/>
        <w:rPr>
          <w:rFonts w:hint="default" w:ascii="Times New Roman" w:hAnsi="Times New Roman" w:eastAsia="方正小标宋_GBK" w:cs="Times New Roman"/>
          <w:color w:val="000000"/>
          <w:szCs w:val="32"/>
        </w:rPr>
      </w:pPr>
      <w:bookmarkStart w:id="477" w:name="_Toc425149345"/>
    </w:p>
    <w:bookmarkEnd w:id="456"/>
    <w:bookmarkEnd w:id="457"/>
    <w:bookmarkEnd w:id="458"/>
    <w:bookmarkEnd w:id="459"/>
    <w:bookmarkEnd w:id="460"/>
    <w:bookmarkEnd w:id="461"/>
    <w:bookmarkEnd w:id="462"/>
    <w:bookmarkEnd w:id="463"/>
    <w:bookmarkEnd w:id="464"/>
    <w:bookmarkEnd w:id="465"/>
    <w:bookmarkEnd w:id="466"/>
    <w:bookmarkEnd w:id="477"/>
    <w:p>
      <w:pPr>
        <w:spacing w:line="500" w:lineRule="exact"/>
        <w:jc w:val="center"/>
        <w:rPr>
          <w:rFonts w:hint="default" w:ascii="Times New Roman" w:hAnsi="Times New Roman" w:eastAsia="方正小标宋_GBK" w:cs="Times New Roman"/>
          <w:b/>
          <w:color w:val="auto"/>
          <w:kern w:val="2"/>
          <w:sz w:val="36"/>
          <w:szCs w:val="30"/>
          <w:highlight w:val="none"/>
          <w:lang w:val="en-US" w:eastAsia="zh-CN" w:bidi="ar-SA"/>
        </w:rPr>
      </w:pPr>
      <w:bookmarkStart w:id="478" w:name="_Hlt41879464"/>
      <w:bookmarkEnd w:id="478"/>
      <w:bookmarkStart w:id="479" w:name="_Toc4366"/>
      <w:bookmarkStart w:id="480" w:name="_Toc15461"/>
      <w:bookmarkStart w:id="481" w:name="_Toc25254"/>
      <w:bookmarkStart w:id="482" w:name="_Toc65660378"/>
      <w:bookmarkStart w:id="483" w:name="_Toc10950"/>
      <w:bookmarkStart w:id="484" w:name="_Toc15382"/>
      <w:bookmarkStart w:id="485" w:name="_Toc9538"/>
      <w:bookmarkStart w:id="486" w:name="_Toc26577"/>
      <w:bookmarkStart w:id="487" w:name="_Toc22009"/>
      <w:bookmarkStart w:id="488" w:name="_Toc16581"/>
      <w:bookmarkStart w:id="489" w:name="_Toc18521"/>
      <w:bookmarkStart w:id="490" w:name="_Toc31981"/>
      <w:bookmarkStart w:id="491" w:name="_Toc19030"/>
      <w:bookmarkStart w:id="492" w:name="_Toc6968"/>
      <w:bookmarkStart w:id="493" w:name="_Toc26561"/>
      <w:bookmarkStart w:id="494" w:name="_Toc12789072"/>
      <w:bookmarkStart w:id="495" w:name="_Toc106034807"/>
      <w:bookmarkStart w:id="496" w:name="_Toc22932"/>
      <w:bookmarkStart w:id="497" w:name="_Toc10221"/>
      <w:bookmarkStart w:id="498" w:name="_Toc10588"/>
      <w:r>
        <w:rPr>
          <w:rFonts w:hint="eastAsia" w:ascii="Times New Roman" w:hAnsi="Times New Roman" w:eastAsia="方正小标宋_GBK" w:cs="Times New Roman"/>
          <w:b/>
          <w:color w:val="auto"/>
          <w:kern w:val="2"/>
          <w:sz w:val="36"/>
          <w:szCs w:val="30"/>
          <w:highlight w:val="none"/>
          <w:lang w:val="en-US" w:eastAsia="zh-CN" w:bidi="ar-SA"/>
        </w:rPr>
        <w:t>重庆市第七人民医院服务类采购合同</w:t>
      </w:r>
    </w:p>
    <w:p>
      <w:pPr>
        <w:spacing w:line="500" w:lineRule="exact"/>
        <w:jc w:val="center"/>
        <w:rPr>
          <w:rFonts w:hint="default" w:ascii="仿宋" w:hAnsi="仿宋" w:eastAsia="仿宋" w:cs="仿宋"/>
          <w:color w:val="auto"/>
          <w:sz w:val="36"/>
          <w:szCs w:val="28"/>
          <w:highlight w:val="none"/>
          <w:lang w:val="en-US" w:eastAsia="zh-CN"/>
        </w:rPr>
      </w:pPr>
      <w:r>
        <w:rPr>
          <w:rFonts w:hint="eastAsia" w:ascii="仿宋" w:hAnsi="仿宋" w:eastAsia="仿宋" w:cs="仿宋"/>
          <w:color w:val="auto"/>
          <w:sz w:val="36"/>
          <w:szCs w:val="28"/>
          <w:highlight w:val="none"/>
          <w:lang w:val="en-US" w:eastAsia="zh-CN"/>
        </w:rPr>
        <w:t>（项目编号：    ）</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经双方协商一致，达成以下合同条款：</w:t>
      </w:r>
    </w:p>
    <w:tbl>
      <w:tblPr>
        <w:tblStyle w:val="59"/>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服务名称</w:t>
            </w:r>
          </w:p>
        </w:tc>
        <w:tc>
          <w:tcPr>
            <w:tcW w:w="1878"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服务具体内容</w:t>
            </w:r>
          </w:p>
        </w:tc>
        <w:tc>
          <w:tcPr>
            <w:tcW w:w="1107"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服务期限</w:t>
            </w:r>
          </w:p>
        </w:tc>
        <w:tc>
          <w:tcPr>
            <w:tcW w:w="1200" w:type="dxa"/>
            <w:gridSpan w:val="2"/>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综合单价</w:t>
            </w:r>
          </w:p>
        </w:tc>
        <w:tc>
          <w:tcPr>
            <w:tcW w:w="820"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总价</w:t>
            </w:r>
          </w:p>
        </w:tc>
        <w:tc>
          <w:tcPr>
            <w:tcW w:w="1119"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服务时间</w:t>
            </w:r>
          </w:p>
        </w:tc>
        <w:tc>
          <w:tcPr>
            <w:tcW w:w="1445" w:type="dxa"/>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服务地点</w:t>
            </w:r>
          </w:p>
        </w:tc>
        <w:tc>
          <w:tcPr>
            <w:tcW w:w="1131" w:type="dxa"/>
            <w:gridSpan w:val="2"/>
            <w:noWrap w:val="0"/>
            <w:vAlign w:val="center"/>
          </w:tcPr>
          <w:p>
            <w:pPr>
              <w:spacing w:line="240" w:lineRule="atLeast"/>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highlight w:val="none"/>
              </w:rPr>
            </w:pPr>
          </w:p>
        </w:tc>
        <w:tc>
          <w:tcPr>
            <w:tcW w:w="1878" w:type="dxa"/>
            <w:noWrap w:val="0"/>
            <w:vAlign w:val="center"/>
          </w:tcPr>
          <w:p>
            <w:pPr>
              <w:spacing w:line="240" w:lineRule="atLeast"/>
              <w:jc w:val="center"/>
              <w:rPr>
                <w:rFonts w:ascii="仿宋" w:hAnsi="仿宋" w:eastAsia="仿宋"/>
                <w:color w:val="auto"/>
                <w:sz w:val="24"/>
                <w:szCs w:val="21"/>
                <w:highlight w:val="none"/>
              </w:rPr>
            </w:pPr>
          </w:p>
        </w:tc>
        <w:tc>
          <w:tcPr>
            <w:tcW w:w="1107" w:type="dxa"/>
            <w:noWrap w:val="0"/>
            <w:vAlign w:val="center"/>
          </w:tcPr>
          <w:p>
            <w:pPr>
              <w:spacing w:line="240" w:lineRule="atLeast"/>
              <w:jc w:val="center"/>
              <w:rPr>
                <w:rFonts w:ascii="仿宋" w:hAnsi="仿宋" w:eastAsia="仿宋"/>
                <w:color w:val="auto"/>
                <w:sz w:val="24"/>
                <w:szCs w:val="21"/>
                <w:highlight w:val="none"/>
              </w:rPr>
            </w:pPr>
          </w:p>
        </w:tc>
        <w:tc>
          <w:tcPr>
            <w:tcW w:w="1200" w:type="dxa"/>
            <w:gridSpan w:val="2"/>
            <w:noWrap w:val="0"/>
            <w:vAlign w:val="center"/>
          </w:tcPr>
          <w:p>
            <w:pPr>
              <w:spacing w:line="240" w:lineRule="atLeast"/>
              <w:jc w:val="center"/>
              <w:rPr>
                <w:rFonts w:ascii="仿宋" w:hAnsi="仿宋" w:eastAsia="仿宋"/>
                <w:color w:val="auto"/>
                <w:sz w:val="24"/>
                <w:szCs w:val="21"/>
                <w:highlight w:val="none"/>
              </w:rPr>
            </w:pPr>
          </w:p>
        </w:tc>
        <w:tc>
          <w:tcPr>
            <w:tcW w:w="820" w:type="dxa"/>
            <w:noWrap w:val="0"/>
            <w:vAlign w:val="center"/>
          </w:tcPr>
          <w:p>
            <w:pPr>
              <w:spacing w:line="240" w:lineRule="atLeast"/>
              <w:jc w:val="center"/>
              <w:rPr>
                <w:rFonts w:ascii="仿宋" w:hAnsi="仿宋" w:eastAsia="仿宋"/>
                <w:color w:val="auto"/>
                <w:sz w:val="24"/>
                <w:szCs w:val="21"/>
                <w:highlight w:val="none"/>
              </w:rPr>
            </w:pPr>
          </w:p>
        </w:tc>
        <w:tc>
          <w:tcPr>
            <w:tcW w:w="1119" w:type="dxa"/>
            <w:noWrap w:val="0"/>
            <w:vAlign w:val="center"/>
          </w:tcPr>
          <w:p>
            <w:pPr>
              <w:spacing w:line="240" w:lineRule="atLeast"/>
              <w:jc w:val="center"/>
              <w:rPr>
                <w:rFonts w:ascii="仿宋" w:hAnsi="仿宋" w:eastAsia="仿宋"/>
                <w:color w:val="auto"/>
                <w:sz w:val="24"/>
                <w:szCs w:val="21"/>
                <w:highlight w:val="none"/>
              </w:rPr>
            </w:pPr>
          </w:p>
        </w:tc>
        <w:tc>
          <w:tcPr>
            <w:tcW w:w="1445" w:type="dxa"/>
            <w:noWrap w:val="0"/>
            <w:vAlign w:val="center"/>
          </w:tcPr>
          <w:p>
            <w:pPr>
              <w:spacing w:line="240" w:lineRule="atLeast"/>
              <w:jc w:val="center"/>
              <w:rPr>
                <w:rFonts w:ascii="仿宋" w:hAnsi="仿宋" w:eastAsia="仿宋"/>
                <w:color w:val="auto"/>
                <w:sz w:val="24"/>
                <w:szCs w:val="21"/>
                <w:highlight w:val="none"/>
              </w:rPr>
            </w:pPr>
          </w:p>
        </w:tc>
        <w:tc>
          <w:tcPr>
            <w:tcW w:w="1131" w:type="dxa"/>
            <w:gridSpan w:val="2"/>
            <w:noWrap w:val="0"/>
            <w:vAlign w:val="center"/>
          </w:tcPr>
          <w:p>
            <w:pPr>
              <w:spacing w:line="240" w:lineRule="atLeast"/>
              <w:jc w:val="center"/>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64" w:type="dxa"/>
            <w:gridSpan w:val="10"/>
            <w:noWrap w:val="0"/>
            <w:vAlign w:val="center"/>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履约保证金：</w:t>
            </w:r>
            <w:r>
              <w:rPr>
                <w:rFonts w:hint="eastAsia" w:ascii="仿宋" w:hAnsi="仿宋" w:eastAsia="仿宋"/>
                <w:color w:val="auto"/>
                <w:sz w:val="24"/>
                <w:szCs w:val="21"/>
                <w:highlight w:val="none"/>
                <w:u w:val="single"/>
              </w:rPr>
              <w:t xml:space="preserve"> </w:t>
            </w:r>
            <w:r>
              <w:rPr>
                <w:rFonts w:ascii="仿宋" w:hAnsi="仿宋" w:eastAsia="仿宋"/>
                <w:color w:val="auto"/>
                <w:sz w:val="24"/>
                <w:szCs w:val="21"/>
                <w:highlight w:val="none"/>
                <w:u w:val="single"/>
              </w:rPr>
              <w:t xml:space="preserve">      </w:t>
            </w:r>
            <w:r>
              <w:rPr>
                <w:rFonts w:hint="eastAsia" w:ascii="仿宋" w:hAnsi="仿宋" w:eastAsia="仿宋"/>
                <w:color w:val="auto"/>
                <w:sz w:val="24"/>
                <w:szCs w:val="21"/>
                <w:highlight w:val="none"/>
              </w:rPr>
              <w:t>元</w:t>
            </w:r>
            <w:r>
              <w:rPr>
                <w:rFonts w:hint="eastAsia" w:ascii="仿宋" w:hAnsi="仿宋" w:eastAsia="仿宋"/>
                <w:color w:val="auto"/>
                <w:sz w:val="24"/>
                <w:szCs w:val="21"/>
                <w:highlight w:val="none"/>
                <w:u w:val="single"/>
              </w:rPr>
              <w:t xml:space="preserve">（大写： </w:t>
            </w:r>
            <w:r>
              <w:rPr>
                <w:rFonts w:ascii="仿宋" w:hAnsi="仿宋" w:eastAsia="仿宋"/>
                <w:color w:val="auto"/>
                <w:sz w:val="24"/>
                <w:szCs w:val="21"/>
                <w:highlight w:val="none"/>
                <w:u w:val="single"/>
              </w:rPr>
              <w:t xml:space="preserve">         </w:t>
            </w:r>
            <w:r>
              <w:rPr>
                <w:rFonts w:hint="eastAsia" w:ascii="仿宋" w:hAnsi="仿宋" w:eastAsia="仿宋"/>
                <w:color w:val="auto"/>
                <w:sz w:val="24"/>
                <w:szCs w:val="21"/>
                <w:highlight w:val="none"/>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noWrap w:val="0"/>
            <w:vAlign w:val="top"/>
          </w:tcPr>
          <w:p>
            <w:pPr>
              <w:pStyle w:val="122"/>
              <w:spacing w:line="240" w:lineRule="atLeast"/>
              <w:ind w:firstLine="0" w:firstLineChars="0"/>
              <w:rPr>
                <w:rFonts w:ascii="仿宋" w:hAnsi="仿宋" w:eastAsia="仿宋"/>
                <w:color w:val="auto"/>
                <w:sz w:val="24"/>
                <w:szCs w:val="21"/>
                <w:highlight w:val="none"/>
              </w:rPr>
            </w:pPr>
            <w:r>
              <w:rPr>
                <w:rFonts w:hint="eastAsia" w:ascii="仿宋" w:hAnsi="仿宋" w:eastAsia="仿宋"/>
                <w:color w:val="auto"/>
                <w:sz w:val="24"/>
                <w:szCs w:val="21"/>
                <w:highlight w:val="none"/>
              </w:rPr>
              <w:t>一、服务要求和质量保证：乙方提供的服务必须是完全符合国家有关标准、地方有关标准、行业有关标准，符合甲方采购文件要求。</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1.质保期限：</w:t>
            </w:r>
          </w:p>
          <w:p>
            <w:pPr>
              <w:spacing w:line="240" w:lineRule="atLeast"/>
              <w:rPr>
                <w:color w:val="auto"/>
                <w:sz w:val="24"/>
                <w:highlight w:val="none"/>
              </w:rPr>
            </w:pPr>
            <w:r>
              <w:rPr>
                <w:rFonts w:hint="eastAsia" w:ascii="仿宋" w:hAnsi="仿宋" w:eastAsia="仿宋"/>
                <w:color w:val="auto"/>
                <w:sz w:val="24"/>
                <w:szCs w:val="21"/>
                <w:highlight w:val="none"/>
              </w:rPr>
              <w:t>（1）。</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w:t>
            </w:r>
            <w:r>
              <w:rPr>
                <w:rFonts w:ascii="仿宋" w:hAnsi="仿宋" w:eastAsia="仿宋"/>
                <w:color w:val="auto"/>
                <w:sz w:val="24"/>
                <w:szCs w:val="21"/>
                <w:highlight w:val="none"/>
              </w:rPr>
              <w:t>2</w:t>
            </w:r>
            <w:r>
              <w:rPr>
                <w:rFonts w:hint="eastAsia" w:ascii="仿宋" w:hAnsi="仿宋" w:eastAsia="仿宋"/>
                <w:color w:val="auto"/>
                <w:sz w:val="24"/>
                <w:szCs w:val="21"/>
                <w:highlight w:val="none"/>
              </w:rPr>
              <w:t>）措施：质保期内服务不符合要求的，由乙方提供售后服务，并承担全部费用。售后服务具体要求如下：</w:t>
            </w:r>
          </w:p>
          <w:p>
            <w:pPr>
              <w:spacing w:line="240" w:lineRule="atLeast"/>
              <w:rPr>
                <w:rFonts w:ascii="仿宋" w:hAnsi="仿宋" w:eastAsia="仿宋"/>
                <w:color w:val="auto"/>
                <w:sz w:val="24"/>
                <w:highlight w:val="none"/>
              </w:rPr>
            </w:pPr>
            <w:r>
              <w:rPr>
                <w:rFonts w:hint="eastAsia" w:ascii="仿宋" w:hAnsi="仿宋" w:eastAsia="仿宋"/>
                <w:color w:val="auto"/>
                <w:sz w:val="24"/>
                <w:highlight w:val="none"/>
              </w:rPr>
              <w:t>a。</w:t>
            </w:r>
          </w:p>
          <w:p>
            <w:pPr>
              <w:spacing w:line="240" w:lineRule="atLeast"/>
              <w:rPr>
                <w:rFonts w:hint="default" w:eastAsia="仿宋"/>
                <w:color w:val="auto"/>
                <w:highlight w:val="none"/>
                <w:lang w:val="en-US" w:eastAsia="zh-CN"/>
              </w:rPr>
            </w:pPr>
            <w:r>
              <w:rPr>
                <w:rFonts w:hint="eastAsia" w:ascii="仿宋" w:hAnsi="仿宋" w:eastAsia="仿宋"/>
                <w:color w:val="auto"/>
                <w:sz w:val="24"/>
                <w:highlight w:val="none"/>
              </w:rPr>
              <w:t>b。</w:t>
            </w:r>
            <w:r>
              <w:rPr>
                <w:rFonts w:hint="eastAsia" w:ascii="仿宋" w:hAnsi="仿宋" w:eastAsia="仿宋"/>
                <w:color w:val="auto"/>
                <w:sz w:val="24"/>
                <w:highlight w:val="none"/>
                <w:lang w:val="en-US" w:eastAsia="zh-CN"/>
              </w:rPr>
              <w:t>...</w:t>
            </w:r>
          </w:p>
          <w:p>
            <w:pPr>
              <w:numPr>
                <w:ilvl w:val="0"/>
                <w:numId w:val="18"/>
              </w:numPr>
              <w:spacing w:line="240" w:lineRule="atLeast"/>
              <w:rPr>
                <w:rFonts w:hint="eastAsia" w:ascii="仿宋" w:hAnsi="仿宋" w:eastAsia="仿宋"/>
                <w:color w:val="auto"/>
                <w:sz w:val="24"/>
                <w:szCs w:val="21"/>
                <w:highlight w:val="none"/>
              </w:rPr>
            </w:pPr>
            <w:r>
              <w:rPr>
                <w:rFonts w:hint="eastAsia" w:ascii="仿宋" w:hAnsi="仿宋" w:eastAsia="仿宋"/>
                <w:color w:val="auto"/>
                <w:sz w:val="24"/>
                <w:szCs w:val="21"/>
                <w:highlight w:val="none"/>
              </w:rPr>
              <w:t>其他：</w:t>
            </w:r>
          </w:p>
          <w:p>
            <w:pPr>
              <w:spacing w:line="240" w:lineRule="atLeast"/>
              <w:rPr>
                <w:rFonts w:ascii="仿宋" w:hAnsi="仿宋" w:eastAsia="仿宋"/>
                <w:color w:val="auto"/>
                <w:sz w:val="24"/>
                <w:szCs w:val="21"/>
                <w:highlight w:val="none"/>
              </w:rPr>
            </w:pPr>
            <w:r>
              <w:rPr>
                <w:rFonts w:ascii="仿宋" w:hAnsi="仿宋" w:eastAsia="仿宋"/>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noWrap w:val="0"/>
            <w:vAlign w:val="top"/>
          </w:tcPr>
          <w:p>
            <w:pPr>
              <w:numPr>
                <w:ilvl w:val="0"/>
                <w:numId w:val="19"/>
              </w:num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服务方式：</w:t>
            </w:r>
          </w:p>
          <w:p>
            <w:pPr>
              <w:spacing w:line="240" w:lineRule="atLeast"/>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三、权利瑕疵担保</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（1）乙方保证对其交付的服务及成果享有合法的权利。</w:t>
            </w:r>
          </w:p>
          <w:p>
            <w:pPr>
              <w:spacing w:line="240" w:lineRule="atLeast"/>
              <w:rPr>
                <w:color w:val="auto"/>
                <w:highlight w:val="none"/>
              </w:rPr>
            </w:pPr>
            <w:r>
              <w:rPr>
                <w:rFonts w:hint="eastAsia" w:ascii="仿宋" w:hAnsi="仿宋" w:eastAsia="仿宋"/>
                <w:color w:val="auto"/>
                <w:sz w:val="24"/>
                <w:szCs w:val="21"/>
                <w:highlight w:val="none"/>
              </w:rPr>
              <w:t>（2）乙方保证在服务上不存在任何未曾向甲方透露的担保物权，如抵押权、质押权、留置权等。</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（3）乙方保证其所交付的服务没有侵犯任何第三人的知识产权和商业秘密等权利。</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noWrap w:val="0"/>
            <w:vAlign w:val="top"/>
          </w:tcPr>
          <w:p>
            <w:pPr>
              <w:pStyle w:val="122"/>
              <w:spacing w:line="240" w:lineRule="atLeast"/>
              <w:ind w:firstLine="0" w:firstLineChars="0"/>
              <w:rPr>
                <w:rFonts w:ascii="仿宋" w:hAnsi="仿宋" w:eastAsia="仿宋"/>
                <w:color w:val="auto"/>
                <w:sz w:val="24"/>
                <w:szCs w:val="21"/>
                <w:highlight w:val="none"/>
              </w:rPr>
            </w:pPr>
            <w:r>
              <w:rPr>
                <w:rFonts w:hint="eastAsia" w:ascii="仿宋" w:hAnsi="仿宋" w:eastAsia="仿宋"/>
                <w:color w:val="auto"/>
                <w:sz w:val="24"/>
                <w:szCs w:val="21"/>
                <w:highlight w:val="none"/>
              </w:rPr>
              <w:t>五、付款方式：</w:t>
            </w:r>
          </w:p>
          <w:p>
            <w:pPr>
              <w:spacing w:line="240" w:lineRule="atLeast"/>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九、其他约定事项：</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1</w:t>
            </w:r>
            <w:r>
              <w:rPr>
                <w:rFonts w:ascii="仿宋" w:hAnsi="仿宋" w:eastAsia="仿宋"/>
                <w:color w:val="auto"/>
                <w:sz w:val="24"/>
                <w:szCs w:val="21"/>
                <w:highlight w:val="none"/>
              </w:rPr>
              <w:t>.</w:t>
            </w:r>
            <w:r>
              <w:rPr>
                <w:rFonts w:hint="eastAsia" w:ascii="仿宋" w:hAnsi="仿宋" w:eastAsia="仿宋"/>
                <w:color w:val="auto"/>
                <w:sz w:val="24"/>
                <w:szCs w:val="21"/>
                <w:highlight w:val="none"/>
              </w:rPr>
              <w:t>采购文件及其补遗文件、响应文件和承诺、及合同附件是本合同不可分割的部分。</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2.本合同如发生争议由双方协商解决，协商不成向甲方所在地人民法院提请诉讼。</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3.本合同一式</w:t>
            </w:r>
            <w:r>
              <w:rPr>
                <w:rFonts w:hint="eastAsia" w:ascii="仿宋" w:hAnsi="仿宋" w:eastAsia="仿宋"/>
                <w:color w:val="auto"/>
                <w:sz w:val="24"/>
                <w:szCs w:val="21"/>
                <w:highlight w:val="none"/>
                <w:u w:val="single"/>
              </w:rPr>
              <w:t xml:space="preserve">_   </w:t>
            </w:r>
            <w:r>
              <w:rPr>
                <w:rFonts w:hint="eastAsia" w:ascii="仿宋" w:hAnsi="仿宋" w:eastAsia="仿宋"/>
                <w:color w:val="auto"/>
                <w:sz w:val="24"/>
                <w:szCs w:val="21"/>
                <w:highlight w:val="none"/>
              </w:rPr>
              <w:t>份， 甲方</w:t>
            </w:r>
            <w:r>
              <w:rPr>
                <w:rFonts w:hint="eastAsia" w:ascii="仿宋" w:hAnsi="仿宋" w:eastAsia="仿宋"/>
                <w:color w:val="auto"/>
                <w:sz w:val="24"/>
                <w:szCs w:val="21"/>
                <w:highlight w:val="none"/>
                <w:u w:val="single"/>
              </w:rPr>
              <w:t>_  _</w:t>
            </w:r>
            <w:r>
              <w:rPr>
                <w:rFonts w:hint="eastAsia" w:ascii="仿宋" w:hAnsi="仿宋" w:eastAsia="仿宋"/>
                <w:color w:val="auto"/>
                <w:sz w:val="24"/>
                <w:szCs w:val="21"/>
                <w:highlight w:val="none"/>
              </w:rPr>
              <w:t>份，乙方</w:t>
            </w:r>
            <w:r>
              <w:rPr>
                <w:rFonts w:hint="eastAsia" w:ascii="仿宋" w:hAnsi="仿宋" w:eastAsia="仿宋"/>
                <w:color w:val="auto"/>
                <w:sz w:val="24"/>
                <w:szCs w:val="21"/>
                <w:highlight w:val="none"/>
                <w:u w:val="single"/>
              </w:rPr>
              <w:t xml:space="preserve">   </w:t>
            </w:r>
            <w:r>
              <w:rPr>
                <w:rFonts w:hint="eastAsia" w:ascii="仿宋" w:hAnsi="仿宋" w:eastAsia="仿宋"/>
                <w:color w:val="auto"/>
                <w:sz w:val="24"/>
                <w:szCs w:val="21"/>
                <w:highlight w:val="none"/>
              </w:rPr>
              <w:t>份，具备同等法律效力。</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4.合同尾页为双方的送达地址，双方据此送达即产生送达的效力。</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5.其他：</w:t>
            </w:r>
            <w:r>
              <w:rPr>
                <w:rFonts w:hint="eastAsia" w:ascii="仿宋" w:hAnsi="仿宋" w:eastAsia="仿宋"/>
                <w:color w:val="auto"/>
                <w:sz w:val="24"/>
                <w:szCs w:val="21"/>
                <w:highlight w:val="none"/>
                <w:u w:val="single"/>
              </w:rPr>
              <w:t xml:space="preserve">             </w:t>
            </w:r>
            <w:r>
              <w:rPr>
                <w:rFonts w:hint="eastAsia" w:ascii="仿宋" w:hAnsi="仿宋" w:eastAsia="仿宋"/>
                <w:color w:val="auto"/>
                <w:sz w:val="24"/>
                <w:szCs w:val="21"/>
                <w:highlight w:val="none"/>
              </w:rPr>
              <w:t>。</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 xml:space="preserve"> </w:t>
            </w:r>
            <w:r>
              <w:rPr>
                <w:rFonts w:ascii="仿宋" w:hAnsi="仿宋" w:eastAsia="仿宋"/>
                <w:color w:val="auto"/>
                <w:sz w:val="24"/>
                <w:szCs w:val="21"/>
                <w:highlight w:val="none"/>
              </w:rPr>
              <w:t>(以</w:t>
            </w:r>
            <w:r>
              <w:rPr>
                <w:rFonts w:hint="eastAsia" w:ascii="仿宋" w:hAnsi="仿宋" w:eastAsia="仿宋"/>
                <w:color w:val="auto"/>
                <w:sz w:val="24"/>
                <w:szCs w:val="21"/>
                <w:highlight w:val="none"/>
              </w:rPr>
              <w:t>下无正文，为签署栏</w:t>
            </w:r>
            <w:r>
              <w:rPr>
                <w:rFonts w:ascii="仿宋" w:hAnsi="仿宋" w:eastAsia="仿宋"/>
                <w:color w:val="auto"/>
                <w:sz w:val="24"/>
                <w:szCs w:val="21"/>
                <w:highlight w:val="none"/>
              </w:rPr>
              <w:t>)</w:t>
            </w:r>
            <w:r>
              <w:rPr>
                <w:rFonts w:hint="eastAsia" w:ascii="仿宋" w:hAnsi="仿宋" w:eastAsia="仿宋"/>
                <w:color w:val="auto"/>
                <w:sz w:val="24"/>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甲方：</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送达地址：</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联系电话：</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法定代表人或授权代表：</w:t>
            </w:r>
          </w:p>
        </w:tc>
        <w:tc>
          <w:tcPr>
            <w:tcW w:w="5591" w:type="dxa"/>
            <w:gridSpan w:val="5"/>
            <w:noWrap w:val="0"/>
            <w:vAlign w:val="top"/>
          </w:tcPr>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乙方：</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送达地址：</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电话：</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传真：</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开户银行：</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账号：</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法定代表人或授权代表：</w:t>
            </w:r>
          </w:p>
          <w:p>
            <w:pPr>
              <w:spacing w:line="240" w:lineRule="atLeast"/>
              <w:rPr>
                <w:rFonts w:ascii="仿宋" w:hAnsi="仿宋" w:eastAsia="仿宋"/>
                <w:color w:val="auto"/>
                <w:sz w:val="24"/>
                <w:szCs w:val="21"/>
                <w:highlight w:val="none"/>
              </w:rPr>
            </w:pPr>
            <w:r>
              <w:rPr>
                <w:rFonts w:hint="eastAsia" w:ascii="仿宋" w:hAnsi="仿宋" w:eastAsia="仿宋"/>
                <w:color w:val="auto"/>
                <w:sz w:val="24"/>
                <w:szCs w:val="21"/>
                <w:highlight w:val="none"/>
              </w:rPr>
              <w:t>（本栏请用计算机打印以便于准确付款，乙方的收款账号以本栏提供的为准，乙方应自行承担因其账号信息错误所造成的全部责任）</w:t>
            </w:r>
          </w:p>
          <w:p>
            <w:pPr>
              <w:spacing w:line="240" w:lineRule="atLeast"/>
              <w:rPr>
                <w:rFonts w:ascii="仿宋" w:hAnsi="仿宋" w:eastAsia="仿宋"/>
                <w:color w:val="auto"/>
                <w:sz w:val="24"/>
                <w:szCs w:val="21"/>
                <w:highlight w:val="none"/>
              </w:rPr>
            </w:pPr>
          </w:p>
        </w:tc>
      </w:tr>
    </w:tbl>
    <w:p>
      <w:pPr>
        <w:spacing w:line="500" w:lineRule="exact"/>
        <w:ind w:firstLine="640" w:firstLineChars="200"/>
        <w:rPr>
          <w:rFonts w:hint="default" w:ascii="仿宋" w:hAnsi="仿宋" w:eastAsia="仿宋"/>
          <w:color w:val="auto"/>
          <w:sz w:val="32"/>
          <w:highlight w:val="none"/>
          <w:lang w:val="en-US" w:eastAsia="zh-CN"/>
        </w:rPr>
      </w:pPr>
      <w:r>
        <w:rPr>
          <w:rFonts w:hint="eastAsia" w:ascii="仿宋" w:hAnsi="仿宋" w:eastAsia="仿宋"/>
          <w:color w:val="auto"/>
          <w:sz w:val="32"/>
          <w:highlight w:val="none"/>
        </w:rPr>
        <w:t xml:space="preserve">签约时间：     年   月   日       </w:t>
      </w:r>
      <w:r>
        <w:rPr>
          <w:rFonts w:hint="eastAsia" w:ascii="仿宋" w:hAnsi="仿宋" w:eastAsia="仿宋"/>
          <w:color w:val="auto"/>
          <w:sz w:val="32"/>
          <w:highlight w:val="none"/>
          <w:lang w:val="en-US" w:eastAsia="zh-CN"/>
        </w:rPr>
        <w:t>签约地点：</w:t>
      </w:r>
    </w:p>
    <w:p>
      <w:pPr>
        <w:rPr>
          <w:rFonts w:ascii="仿宋" w:hAnsi="仿宋" w:eastAsia="仿宋" w:cs="仿宋"/>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rPr>
      </w:pPr>
    </w:p>
    <w:p>
      <w:pPr>
        <w:spacing w:line="400" w:lineRule="exact"/>
        <w:ind w:right="12"/>
        <w:jc w:val="both"/>
        <w:rPr>
          <w:rFonts w:hint="default" w:ascii="Times New Roman" w:hAnsi="Times New Roman" w:eastAsia="方正仿宋_GBK" w:cs="Times New Roman"/>
          <w:color w:val="auto"/>
          <w:sz w:val="40"/>
          <w:szCs w:val="28"/>
          <w:highlight w:val="none"/>
        </w:rPr>
      </w:pPr>
    </w:p>
    <w:p>
      <w:pPr>
        <w:spacing w:line="400" w:lineRule="exact"/>
        <w:ind w:right="12" w:firstLine="480"/>
        <w:jc w:val="center"/>
        <w:rPr>
          <w:rFonts w:hint="default" w:ascii="Times New Roman" w:hAnsi="Times New Roman" w:eastAsia="方正仿宋_GBK" w:cs="Times New Roman"/>
          <w:color w:val="auto"/>
          <w:sz w:val="40"/>
          <w:szCs w:val="28"/>
          <w:highlight w:val="none"/>
        </w:rPr>
      </w:pPr>
    </w:p>
    <w:p>
      <w:pPr>
        <w:spacing w:line="400" w:lineRule="exact"/>
        <w:ind w:right="12" w:firstLine="480"/>
        <w:jc w:val="center"/>
        <w:rPr>
          <w:rFonts w:hint="default" w:ascii="Times New Roman" w:hAnsi="Times New Roman" w:eastAsia="方正仿宋_GBK" w:cs="Times New Roman"/>
          <w:sz w:val="40"/>
          <w:szCs w:val="28"/>
        </w:rPr>
      </w:pPr>
      <w:r>
        <w:rPr>
          <w:rFonts w:hint="default" w:ascii="Times New Roman" w:hAnsi="Times New Roman" w:eastAsia="方正仿宋_GBK" w:cs="Times New Roman"/>
          <w:sz w:val="40"/>
          <w:szCs w:val="28"/>
        </w:rPr>
        <w:t>廉洁协议</w:t>
      </w:r>
    </w:p>
    <w:p>
      <w:pPr>
        <w:spacing w:line="400" w:lineRule="exact"/>
        <w:ind w:right="12" w:firstLine="480"/>
        <w:rPr>
          <w:rFonts w:hint="default" w:ascii="Times New Roman" w:hAnsi="Times New Roman" w:eastAsia="方正仿宋_GBK" w:cs="Times New Roman"/>
          <w:sz w:val="24"/>
        </w:rPr>
      </w:pP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甲方：重庆市第七人民医院 </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乙方：</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为确保甲乙双方交易全程的诚信、阳光，营造廉洁公正、透明健康的供需关系，维护公平、公正的交易环境，防止商业贿赂等不正当行为的发生，经双方协商一致，特订立此协议，双方共同遵守。</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一、双方在合同的洽谈、签订、履行等活动中，或在其他业务往来，确保各方的经营管理活动、商务行为与交往均守法、合规、诚信、廉洁，不欺诈，不发生贿赂等不正当利益的输送。</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四、乙方不得聘用或承诺聘用甲方人员或其推荐的其他特定关系人到乙方工作，但该员工正常离职且本协议解除或终止满一年的除外。</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五、甲方人员不得有索贿、受贿、介绍贿赂或其他不正当利益的交行为。甲方人员向乙方索贿、变相索贿或介绍贿赂的，乙方应当立即向甲方纪委检举、揭发。</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六、双方资金往来必须通过对公账户进行，不得向对公账户以外的任何个人账户支付，否则直接认定为贿赂。</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七、乙方违反本协议时，甲方有权随时解除双方订立的合同，对尚未结算的货款有权暂停支付。因乙方贿赂、舞弊等违法违约行为，造成甲方经济损失或被第三方追诉的，乙方还应当承担甲方的全部经济损失。</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八、甲乙双方对商业贿赂实行“零容忍”，只要有违反本协议的具体行为发生，不论数额的大小，不论次数的多少，不论不正当利益是否兑现，不论公司是否发生损害，均是违反本协议的商业贿赂行为，按相关规定处理。</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九、发生商业贿赂等不正当利益交易时，甲方接受任何知情人员的举报、投诉和揭发。乙方若积极配合甲方调查，可减轻乙方所承担的责任。</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（以下无正文，为签署栏）</w:t>
      </w:r>
    </w:p>
    <w:p>
      <w:pPr>
        <w:spacing w:line="400" w:lineRule="exact"/>
        <w:ind w:right="12" w:firstLine="480"/>
        <w:rPr>
          <w:rFonts w:hint="default" w:ascii="Times New Roman" w:hAnsi="Times New Roman" w:eastAsia="方正仿宋_GBK" w:cs="Times New Roman"/>
          <w:sz w:val="24"/>
        </w:rPr>
      </w:pP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甲方： 重庆市第七人民医院        乙方：</w:t>
      </w:r>
    </w:p>
    <w:p>
      <w:pPr>
        <w:spacing w:line="400" w:lineRule="exact"/>
        <w:ind w:right="12"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400" w:lineRule="exact"/>
        <w:ind w:right="12" w:firstLine="480"/>
        <w:rPr>
          <w:rFonts w:hint="default" w:ascii="Times New Roman" w:hAnsi="Times New Roman" w:eastAsia="方正仿宋_GBK" w:cs="Times New Roman"/>
          <w:sz w:val="24"/>
        </w:rPr>
      </w:pPr>
    </w:p>
    <w:p>
      <w:pPr>
        <w:spacing w:line="400" w:lineRule="exact"/>
        <w:ind w:right="12" w:firstLine="480"/>
        <w:rPr>
          <w:rFonts w:hint="default" w:ascii="Times New Roman" w:hAnsi="Times New Roman" w:eastAsia="方正仿宋_GBK" w:cs="Times New Roman"/>
          <w:sz w:val="24"/>
        </w:rPr>
        <w:sectPr>
          <w:pgSz w:w="11906" w:h="16838"/>
          <w:pgMar w:top="1418" w:right="1531" w:bottom="1418" w:left="1531" w:header="851"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方正仿宋_GBK" w:cs="Times New Roman"/>
          <w:sz w:val="24"/>
        </w:rPr>
        <w:t>年       月      日            年       月      日</w:t>
      </w:r>
    </w:p>
    <w:p>
      <w:pPr>
        <w:pStyle w:val="4"/>
        <w:numPr>
          <w:ilvl w:val="0"/>
          <w:numId w:val="20"/>
        </w:numPr>
        <w:spacing w:before="0" w:after="0" w:line="360" w:lineRule="auto"/>
        <w:jc w:val="center"/>
        <w:rPr>
          <w:rFonts w:hint="default" w:ascii="Times New Roman" w:hAnsi="Times New Roman" w:eastAsia="方正小标宋_GBK" w:cs="Times New Roman"/>
          <w:b w:val="0"/>
          <w:sz w:val="36"/>
          <w:szCs w:val="30"/>
        </w:rPr>
      </w:pPr>
      <w:r>
        <w:rPr>
          <w:rFonts w:hint="default" w:ascii="Times New Roman" w:hAnsi="Times New Roman" w:eastAsia="方正小标宋_GBK" w:cs="Times New Roman"/>
          <w:b w:val="0"/>
          <w:sz w:val="36"/>
          <w:szCs w:val="30"/>
        </w:rPr>
        <w:t xml:space="preserve"> </w:t>
      </w:r>
      <w:r>
        <w:rPr>
          <w:rFonts w:hint="eastAsia" w:ascii="Times New Roman" w:hAnsi="Times New Roman" w:eastAsia="方正小标宋_GBK" w:cs="Times New Roman"/>
          <w:b w:val="0"/>
          <w:sz w:val="36"/>
          <w:szCs w:val="30"/>
          <w:lang w:val="en-US" w:eastAsia="zh-CN"/>
        </w:rPr>
        <w:t>报名</w:t>
      </w:r>
      <w:r>
        <w:rPr>
          <w:rFonts w:hint="default" w:ascii="Times New Roman" w:hAnsi="Times New Roman" w:eastAsia="方正小标宋_GBK" w:cs="Times New Roman"/>
          <w:b w:val="0"/>
          <w:sz w:val="36"/>
          <w:szCs w:val="30"/>
        </w:rPr>
        <w:t>文件格式要求</w:t>
      </w:r>
    </w:p>
    <w:p>
      <w:pPr>
        <w:rPr>
          <w:rFonts w:hint="default" w:ascii="Times New Roman" w:hAnsi="Times New Roman" w:eastAsia="方正小标宋_GBK" w:cs="Times New Roman"/>
          <w:b w:val="0"/>
          <w:sz w:val="36"/>
          <w:szCs w:val="30"/>
        </w:rPr>
      </w:pPr>
    </w:p>
    <w:p>
      <w:pPr>
        <w:spacing w:line="400" w:lineRule="exact"/>
        <w:ind w:right="12"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rPr>
        <w:t>填</w:t>
      </w:r>
      <w:r>
        <w:rPr>
          <w:rFonts w:hint="eastAsia" w:ascii="Times New Roman" w:hAnsi="Times New Roman" w:eastAsia="方正仿宋_GBK" w:cs="Times New Roman"/>
          <w:sz w:val="24"/>
          <w:lang w:val="en-US" w:eastAsia="zh-CN"/>
        </w:rPr>
        <w:t>写</w:t>
      </w:r>
      <w:r>
        <w:rPr>
          <w:rFonts w:hint="eastAsia" w:ascii="Times New Roman" w:hAnsi="Times New Roman" w:eastAsia="方正仿宋_GBK" w:cs="Times New Roman"/>
          <w:sz w:val="24"/>
        </w:rPr>
        <w:t>说明：</w:t>
      </w:r>
      <w:r>
        <w:rPr>
          <w:rFonts w:hint="eastAsia" w:ascii="Times New Roman" w:hAnsi="Times New Roman" w:eastAsia="方正仿宋_GBK" w:cs="Times New Roman"/>
          <w:sz w:val="24"/>
          <w:lang w:val="en-US" w:eastAsia="zh-CN"/>
        </w:rPr>
        <w:t>无需密封，</w:t>
      </w:r>
      <w:r>
        <w:rPr>
          <w:rFonts w:hint="eastAsia" w:ascii="Times New Roman" w:hAnsi="Times New Roman" w:eastAsia="方正仿宋_GBK" w:cs="Times New Roman"/>
          <w:sz w:val="24"/>
        </w:rPr>
        <w:t>一个项目对应填写此表一张，报名时与</w:t>
      </w:r>
      <w:r>
        <w:rPr>
          <w:rFonts w:hint="eastAsia" w:ascii="Times New Roman" w:hAnsi="Times New Roman" w:eastAsia="方正仿宋_GBK" w:cs="Times New Roman"/>
          <w:sz w:val="24"/>
          <w:lang w:val="en-US" w:eastAsia="zh-CN"/>
        </w:rPr>
        <w:t>响应文件</w:t>
      </w:r>
      <w:r>
        <w:rPr>
          <w:rFonts w:hint="eastAsia" w:ascii="Times New Roman" w:hAnsi="Times New Roman" w:eastAsia="方正仿宋_GBK" w:cs="Times New Roman"/>
          <w:sz w:val="24"/>
          <w:highlight w:val="yellow"/>
          <w:lang w:val="en-US" w:eastAsia="zh-CN"/>
        </w:rPr>
        <w:t>正本、副本</w:t>
      </w:r>
      <w:r>
        <w:rPr>
          <w:rFonts w:hint="eastAsia" w:ascii="Times New Roman" w:hAnsi="Times New Roman" w:eastAsia="方正仿宋_GBK" w:cs="Times New Roman"/>
          <w:sz w:val="24"/>
        </w:rPr>
        <w:t>一并递交</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rPr>
        <w:t>请勿将此</w:t>
      </w:r>
      <w:r>
        <w:rPr>
          <w:rFonts w:hint="eastAsia" w:ascii="Times New Roman" w:hAnsi="Times New Roman" w:eastAsia="方正仿宋_GBK" w:cs="Times New Roman"/>
          <w:sz w:val="24"/>
          <w:lang w:val="en-US" w:eastAsia="zh-CN"/>
        </w:rPr>
        <w:t>材料</w:t>
      </w:r>
      <w:r>
        <w:rPr>
          <w:rFonts w:hint="eastAsia" w:ascii="Times New Roman" w:hAnsi="Times New Roman" w:eastAsia="方正仿宋_GBK" w:cs="Times New Roman"/>
          <w:sz w:val="24"/>
        </w:rPr>
        <w:t>装入响应文件密封</w:t>
      </w: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pStyle w:val="5"/>
        <w:rPr>
          <w:rFonts w:hint="default" w:ascii="Times New Roman" w:hAnsi="Times New Roman" w:eastAsia="方正小标宋_GBK" w:cs="Times New Roman"/>
          <w:b w:val="0"/>
          <w:sz w:val="36"/>
          <w:szCs w:val="30"/>
        </w:rPr>
      </w:pPr>
    </w:p>
    <w:p>
      <w:pPr>
        <w:rPr>
          <w:rFonts w:hint="default" w:ascii="Times New Roman" w:hAnsi="Times New Roman" w:eastAsia="方正小标宋_GBK" w:cs="Times New Roman"/>
          <w:b w:val="0"/>
          <w:sz w:val="36"/>
          <w:szCs w:val="30"/>
        </w:rPr>
      </w:pPr>
    </w:p>
    <w:p>
      <w:pPr>
        <w:widowControl/>
        <w:numPr>
          <w:ilvl w:val="0"/>
          <w:numId w:val="21"/>
        </w:numPr>
        <w:spacing w:before="0" w:after="0" w:afterLines="0" w:line="400" w:lineRule="exact"/>
        <w:jc w:val="left"/>
        <w:outlineLvl w:val="1"/>
        <w:rPr>
          <w:rFonts w:hint="default" w:ascii="Times New Roman" w:hAnsi="Times New Roman" w:eastAsia="方正仿宋_GBK" w:cs="Times New Roman"/>
          <w:b/>
          <w:bCs w:val="0"/>
          <w:sz w:val="24"/>
          <w:szCs w:val="20"/>
          <w:highlight w:val="none"/>
          <w:lang w:val="en-US" w:eastAsia="zh-CN"/>
        </w:rPr>
      </w:pPr>
      <w:bookmarkStart w:id="499" w:name="_Toc1960"/>
      <w:r>
        <w:rPr>
          <w:rFonts w:hint="default" w:ascii="Times New Roman" w:hAnsi="Times New Roman" w:eastAsia="方正仿宋_GBK" w:cs="Times New Roman"/>
          <w:b/>
          <w:bCs w:val="0"/>
          <w:sz w:val="24"/>
          <w:szCs w:val="20"/>
          <w:highlight w:val="none"/>
          <w:lang w:val="en-US" w:eastAsia="zh-CN"/>
        </w:rPr>
        <w:t>报名信息登记表</w:t>
      </w:r>
      <w:bookmarkEnd w:id="499"/>
    </w:p>
    <w:p>
      <w:pPr>
        <w:pStyle w:val="5"/>
        <w:numPr>
          <w:ilvl w:val="0"/>
          <w:numId w:val="0"/>
        </w:numPr>
        <w:rPr>
          <w:rFonts w:hint="default"/>
          <w:lang w:val="en-US" w:eastAsia="zh-CN"/>
        </w:rPr>
      </w:pPr>
    </w:p>
    <w:p>
      <w:pPr>
        <w:spacing w:line="560" w:lineRule="exact"/>
        <w:jc w:val="center"/>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重庆市第七人民医院报名表</w:t>
      </w:r>
    </w:p>
    <w:p>
      <w:pPr>
        <w:rPr>
          <w:rFonts w:hint="eastAsia" w:ascii="方正仿宋_GBK" w:hAnsi="方正仿宋_GBK" w:eastAsia="方正仿宋_GBK" w:cs="方正仿宋_GBK"/>
          <w:color w:val="auto"/>
          <w:highlight w:val="none"/>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widowControl/>
              <w:jc w:val="left"/>
              <w:rPr>
                <w:rFonts w:hint="eastAsia" w:ascii="方正仿宋_GBK" w:hAnsi="方正仿宋_GBK" w:eastAsia="方正仿宋_GBK" w:cs="方正仿宋_GBK"/>
                <w:color w:val="auto"/>
                <w:szCs w:val="22"/>
                <w:highlight w:val="none"/>
              </w:rPr>
            </w:pPr>
          </w:p>
          <w:p>
            <w:pPr>
              <w:widowControl/>
              <w:jc w:val="left"/>
              <w:rPr>
                <w:rFonts w:hint="eastAsia" w:ascii="方正仿宋_GBK" w:hAnsi="方正仿宋_GBK" w:eastAsia="方正仿宋_GBK" w:cs="方正仿宋_GBK"/>
                <w:color w:val="auto"/>
                <w:szCs w:val="22"/>
                <w:highlight w:val="none"/>
              </w:rPr>
            </w:pPr>
          </w:p>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报名项目编号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960"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rPr>
          <w:rFonts w:hint="default" w:ascii="Times New Roman" w:hAnsi="Times New Roman" w:eastAsia="方正小标宋_GBK" w:cs="Times New Roman"/>
          <w:b w:val="0"/>
          <w:sz w:val="36"/>
          <w:szCs w:val="30"/>
        </w:rPr>
      </w:pPr>
    </w:p>
    <w:p>
      <w:pPr>
        <w:keepNext w:val="0"/>
        <w:keepLines w:val="0"/>
        <w:widowControl/>
        <w:adjustRightInd/>
        <w:snapToGrid/>
        <w:spacing w:before="0" w:after="0" w:line="400" w:lineRule="exact"/>
        <w:ind w:firstLine="482" w:firstLineChars="200"/>
        <w:jc w:val="left"/>
        <w:outlineLvl w:val="1"/>
        <w:rPr>
          <w:rFonts w:hint="default" w:ascii="Times New Roman" w:hAnsi="Times New Roman" w:eastAsia="方正仿宋_GBK" w:cs="Times New Roman"/>
          <w:b/>
          <w:bCs w:val="0"/>
          <w:sz w:val="24"/>
          <w:szCs w:val="20"/>
          <w:lang w:val="en-US" w:eastAsia="zh-CN"/>
        </w:rPr>
      </w:pPr>
      <w:bookmarkStart w:id="500" w:name="_Toc5002"/>
    </w:p>
    <w:p>
      <w:pPr>
        <w:keepNext w:val="0"/>
        <w:keepLines w:val="0"/>
        <w:widowControl/>
        <w:adjustRightInd/>
        <w:snapToGrid/>
        <w:spacing w:before="0" w:after="0" w:line="400" w:lineRule="exact"/>
        <w:ind w:firstLine="482" w:firstLineChars="200"/>
        <w:jc w:val="left"/>
        <w:outlineLvl w:val="1"/>
        <w:rPr>
          <w:rFonts w:hint="default" w:ascii="Times New Roman" w:hAnsi="Times New Roman" w:eastAsia="方正仿宋_GBK" w:cs="Times New Roman"/>
          <w:b/>
          <w:bCs w:val="0"/>
          <w:sz w:val="24"/>
          <w:szCs w:val="20"/>
        </w:rPr>
      </w:pPr>
      <w:r>
        <w:rPr>
          <w:rFonts w:hint="eastAsia" w:ascii="Times New Roman" w:hAnsi="Times New Roman" w:eastAsia="方正仿宋_GBK" w:cs="Times New Roman"/>
          <w:b/>
          <w:bCs w:val="0"/>
          <w:sz w:val="24"/>
          <w:szCs w:val="20"/>
          <w:lang w:val="en-US" w:eastAsia="zh-CN"/>
        </w:rPr>
        <w:t>二</w:t>
      </w:r>
      <w:r>
        <w:rPr>
          <w:rFonts w:hint="default" w:ascii="Times New Roman" w:hAnsi="Times New Roman" w:eastAsia="方正仿宋_GBK" w:cs="Times New Roman"/>
          <w:b/>
          <w:bCs w:val="0"/>
          <w:sz w:val="24"/>
          <w:szCs w:val="20"/>
          <w:lang w:val="en-US" w:eastAsia="zh-CN"/>
        </w:rPr>
        <w:t>、投标人廉洁承诺书</w:t>
      </w:r>
      <w:bookmarkEnd w:id="500"/>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keepNext w:val="0"/>
        <w:keepLines w:val="0"/>
        <w:pageBreakBefore w:val="0"/>
        <w:widowControl/>
        <w:kinsoku/>
        <w:wordWrap/>
        <w:overflowPunct/>
        <w:topLinePunct w:val="0"/>
        <w:autoSpaceDE/>
        <w:autoSpaceDN/>
        <w:bidi w:val="0"/>
        <w:adjustRightInd/>
        <w:snapToGrid/>
        <w:ind w:firstLine="879"/>
        <w:jc w:val="center"/>
        <w:textAlignment w:val="auto"/>
        <w:outlineLvl w:val="9"/>
        <w:rPr>
          <w:rFonts w:hint="default" w:ascii="Times New Roman" w:hAnsi="Times New Roman" w:eastAsia="方正小标宋_GBK" w:cs="Times New Roman"/>
          <w:sz w:val="44"/>
          <w:szCs w:val="44"/>
        </w:rPr>
      </w:pPr>
      <w:bookmarkStart w:id="501" w:name="_Toc5952"/>
      <w:r>
        <w:rPr>
          <w:rFonts w:hint="default" w:ascii="Times New Roman" w:hAnsi="Times New Roman" w:eastAsia="方正小标宋_GBK" w:cs="Times New Roman"/>
          <w:sz w:val="44"/>
          <w:szCs w:val="44"/>
        </w:rPr>
        <w:t>投标人廉洁承诺书</w:t>
      </w:r>
      <w:bookmarkEnd w:id="501"/>
    </w:p>
    <w:p>
      <w:pPr>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为加强招标投标活动中的廉政建设。进一步规范招标投标市场、防止发生违法违规行为，体现公开、公平、公正的原则，根据国家有关法律、法规和廉政建设相关规定，本投标人特作出如下承诺：</w:t>
      </w:r>
    </w:p>
    <w:p>
      <w:pPr>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1、不与招标人及其他投标人私下串通协商，进行围标、串标、抬标、控制投标价格。</w:t>
      </w:r>
    </w:p>
    <w:p>
      <w:pPr>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2、不向招标人、评标专家行贿，以不正当手段谋取中标。</w:t>
      </w:r>
    </w:p>
    <w:p>
      <w:pPr>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3、不向招标投标监管人员请客、送礼及组织其它有可能影响公正监管的活动。</w:t>
      </w:r>
    </w:p>
    <w:p>
      <w:pPr>
        <w:spacing w:line="44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sz w:val="28"/>
          <w:szCs w:val="28"/>
        </w:rPr>
        <w:t>4、自觉遵守开标、评标现场工作纪律，不私下接触评标专家</w:t>
      </w:r>
      <w:r>
        <w:rPr>
          <w:rFonts w:hint="eastAsia" w:eastAsia="方正仿宋_GBK" w:cs="Times New Roman"/>
          <w:color w:val="FF0000"/>
          <w:sz w:val="28"/>
          <w:szCs w:val="28"/>
          <w:lang w:eastAsia="zh-CN"/>
        </w:rPr>
        <w:t>，</w:t>
      </w:r>
      <w:r>
        <w:rPr>
          <w:rFonts w:hint="eastAsia" w:eastAsia="方正仿宋_GBK" w:cs="Times New Roman"/>
          <w:color w:val="auto"/>
          <w:sz w:val="28"/>
          <w:szCs w:val="28"/>
          <w:highlight w:val="none"/>
          <w:lang w:val="en-US" w:eastAsia="zh-CN"/>
        </w:rPr>
        <w:t>遵守</w:t>
      </w:r>
      <w:r>
        <w:rPr>
          <w:rFonts w:hint="default" w:ascii="Times New Roman" w:hAnsi="Times New Roman" w:eastAsia="方正仿宋_GBK" w:cs="Times New Roman"/>
          <w:color w:val="auto"/>
          <w:sz w:val="28"/>
          <w:szCs w:val="28"/>
          <w:highlight w:val="none"/>
        </w:rPr>
        <w:t>评标秩序。</w:t>
      </w:r>
    </w:p>
    <w:p>
      <w:pPr>
        <w:spacing w:line="44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5、中标后不订背离合同实质性内容的协议，不进行非法转包、违法分包等。</w:t>
      </w:r>
    </w:p>
    <w:p>
      <w:pPr>
        <w:pStyle w:val="35"/>
        <w:ind w:firstLine="560" w:firstLineChars="200"/>
        <w:rPr>
          <w:rFonts w:hint="eastAsia"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6、合同履行过程中不进行任何形式的统方等不正当行为。</w:t>
      </w:r>
    </w:p>
    <w:p>
      <w:pPr>
        <w:pStyle w:val="35"/>
        <w:ind w:firstLine="560" w:firstLineChars="200"/>
        <w:rPr>
          <w:rFonts w:hint="default" w:eastAsia="方正仿宋_GBK"/>
          <w:color w:val="auto"/>
          <w:highlight w:val="none"/>
          <w:lang w:val="en-US" w:eastAsia="zh-CN"/>
        </w:rPr>
      </w:pPr>
      <w:r>
        <w:rPr>
          <w:rFonts w:hint="eastAsia" w:eastAsia="方正仿宋_GBK" w:cs="Times New Roman"/>
          <w:color w:val="auto"/>
          <w:sz w:val="28"/>
          <w:szCs w:val="28"/>
          <w:highlight w:val="none"/>
          <w:lang w:val="en-US" w:eastAsia="zh-CN"/>
        </w:rPr>
        <w:t>7、不贿赂医院工作人员。</w:t>
      </w:r>
    </w:p>
    <w:p>
      <w:pPr>
        <w:spacing w:line="44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如出现上述行为，本投标人自愿承担相关责任，接受招投标监督管理部门、纪检监察部门及司法机关调查处理</w:t>
      </w:r>
      <w:r>
        <w:rPr>
          <w:rFonts w:hint="eastAsia" w:eastAsia="方正仿宋_GBK" w:cs="Times New Roman"/>
          <w:color w:val="auto"/>
          <w:sz w:val="28"/>
          <w:szCs w:val="28"/>
          <w:highlight w:val="none"/>
          <w:lang w:eastAsia="zh-CN"/>
        </w:rPr>
        <w:t>，</w:t>
      </w:r>
      <w:r>
        <w:rPr>
          <w:rFonts w:hint="eastAsia" w:eastAsia="方正仿宋_GBK" w:cs="Times New Roman"/>
          <w:color w:val="auto"/>
          <w:sz w:val="28"/>
          <w:szCs w:val="28"/>
          <w:highlight w:val="none"/>
          <w:lang w:val="en-US" w:eastAsia="zh-CN"/>
        </w:rPr>
        <w:t>采购人可单方面终止采购合同</w:t>
      </w:r>
      <w:r>
        <w:rPr>
          <w:rFonts w:hint="default" w:ascii="Times New Roman" w:hAnsi="Times New Roman" w:eastAsia="方正仿宋_GBK" w:cs="Times New Roman"/>
          <w:color w:val="auto"/>
          <w:sz w:val="28"/>
          <w:szCs w:val="28"/>
          <w:highlight w:val="none"/>
        </w:rPr>
        <w:t>。</w:t>
      </w:r>
    </w:p>
    <w:p>
      <w:pPr>
        <w:spacing w:line="44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ind w:firstLine="400"/>
        <w:jc w:val="left"/>
        <w:rPr>
          <w:rFonts w:hint="default" w:ascii="Times New Roman" w:hAnsi="Times New Roman" w:cs="Times New Roman"/>
          <w:kern w:val="0"/>
          <w:sz w:val="28"/>
          <w:szCs w:val="28"/>
        </w:rPr>
      </w:pPr>
    </w:p>
    <w:p>
      <w:pPr>
        <w:ind w:firstLine="640"/>
        <w:jc w:val="left"/>
        <w:rPr>
          <w:rFonts w:hint="default" w:ascii="Times New Roman" w:hAnsi="Times New Roman" w:cs="Times New Roman"/>
          <w:szCs w:val="28"/>
        </w:rPr>
      </w:pPr>
    </w:p>
    <w:p>
      <w:pPr>
        <w:spacing w:line="440" w:lineRule="exact"/>
        <w:ind w:firstLine="2108" w:firstLineChars="753"/>
        <w:jc w:val="righ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投标单位：</w:t>
      </w:r>
      <w:r>
        <w:rPr>
          <w:rFonts w:hint="default" w:ascii="Times New Roman" w:hAnsi="Times New Roman" w:eastAsia="方正仿宋_GBK" w:cs="Times New Roman"/>
          <w:sz w:val="28"/>
          <w:szCs w:val="28"/>
          <w:u w:val="single"/>
        </w:rPr>
        <w:t xml:space="preserve">              （单位盖章）</w:t>
      </w:r>
    </w:p>
    <w:p>
      <w:pPr>
        <w:spacing w:before="0" w:after="0" w:afterLines="0" w:line="440" w:lineRule="exact"/>
        <w:jc w:val="righ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法定代表人或授权委托人：</w:t>
      </w:r>
      <w:r>
        <w:rPr>
          <w:rFonts w:hint="default" w:ascii="Times New Roman" w:hAnsi="Times New Roman" w:eastAsia="方正仿宋_GBK" w:cs="Times New Roman"/>
          <w:sz w:val="28"/>
          <w:szCs w:val="28"/>
          <w:u w:val="single"/>
        </w:rPr>
        <w:t xml:space="preserve">            （签    字</w:t>
      </w:r>
      <w:r>
        <w:rPr>
          <w:rFonts w:hint="default" w:ascii="Times New Roman" w:hAnsi="Times New Roman" w:eastAsia="方正仿宋_GBK" w:cs="Times New Roman"/>
          <w:sz w:val="28"/>
          <w:szCs w:val="28"/>
          <w:u w:val="single"/>
          <w:lang w:eastAsia="zh-CN"/>
        </w:rPr>
        <w:t>）</w:t>
      </w: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ind w:firstLine="482" w:firstLineChars="200"/>
        <w:outlineLvl w:val="1"/>
        <w:rPr>
          <w:rFonts w:hint="default" w:ascii="Times New Roman" w:hAnsi="Times New Roman" w:eastAsia="方正仿宋_GBK" w:cs="Times New Roman"/>
          <w:b/>
          <w:bCs/>
          <w:color w:val="auto"/>
          <w:sz w:val="24"/>
          <w:szCs w:val="24"/>
          <w:highlight w:val="none"/>
        </w:rPr>
        <w:sectPr>
          <w:pgSz w:w="11907" w:h="16840"/>
          <w:pgMar w:top="1134" w:right="1191" w:bottom="1134" w:left="1304" w:header="964" w:footer="992" w:gutter="0"/>
          <w:pgNumType w:fmt="numberInDash"/>
          <w:cols w:space="720" w:num="1"/>
          <w:rtlGutter w:val="0"/>
          <w:docGrid w:linePitch="380" w:charSpace="0"/>
        </w:sectPr>
      </w:pPr>
    </w:p>
    <w:p>
      <w:pPr>
        <w:pStyle w:val="4"/>
        <w:spacing w:before="0" w:after="0" w:line="360" w:lineRule="auto"/>
        <w:jc w:val="center"/>
        <w:rPr>
          <w:rFonts w:hint="default" w:ascii="Times New Roman" w:hAnsi="Times New Roman" w:eastAsia="方正小标宋_GBK" w:cs="Times New Roman"/>
          <w:b w:val="0"/>
          <w:sz w:val="36"/>
          <w:szCs w:val="30"/>
        </w:rPr>
      </w:pPr>
    </w:p>
    <w:p>
      <w:pPr>
        <w:pStyle w:val="4"/>
        <w:spacing w:before="0" w:after="0" w:line="360" w:lineRule="auto"/>
        <w:jc w:val="center"/>
        <w:rPr>
          <w:rFonts w:hint="default" w:ascii="Times New Roman" w:hAnsi="Times New Roman" w:eastAsia="华文中宋" w:cs="Times New Roman"/>
          <w:b/>
          <w:color w:val="C00000"/>
          <w:sz w:val="36"/>
          <w:szCs w:val="36"/>
          <w:highlight w:val="none"/>
        </w:rPr>
      </w:pPr>
      <w:r>
        <w:rPr>
          <w:rFonts w:hint="default" w:ascii="Times New Roman" w:hAnsi="Times New Roman" w:eastAsia="方正小标宋_GBK" w:cs="Times New Roman"/>
          <w:b w:val="0"/>
          <w:sz w:val="36"/>
          <w:szCs w:val="30"/>
        </w:rPr>
        <w:t>第</w:t>
      </w:r>
      <w:r>
        <w:rPr>
          <w:rFonts w:hint="eastAsia" w:ascii="Times New Roman" w:hAnsi="Times New Roman" w:eastAsia="方正小标宋_GBK" w:cs="Times New Roman"/>
          <w:b w:val="0"/>
          <w:sz w:val="36"/>
          <w:szCs w:val="30"/>
          <w:lang w:val="en-US" w:eastAsia="zh-CN"/>
        </w:rPr>
        <w:t>八</w:t>
      </w:r>
      <w:r>
        <w:rPr>
          <w:rFonts w:hint="default" w:ascii="Times New Roman" w:hAnsi="Times New Roman" w:eastAsia="方正小标宋_GBK" w:cs="Times New Roman"/>
          <w:b w:val="0"/>
          <w:sz w:val="36"/>
          <w:szCs w:val="30"/>
        </w:rPr>
        <w:t>篇  响应文件格式要求</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jc w:val="left"/>
        <w:rPr>
          <w:rFonts w:hint="default" w:ascii="Times New Roman" w:hAnsi="Times New Roman" w:cs="Times New Roman"/>
          <w:b/>
          <w:sz w:val="52"/>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r>
        <w:rPr>
          <w:rFonts w:hint="default" w:ascii="Times New Roman" w:hAnsi="Times New Roman" w:cs="Times New Roman"/>
          <w:b/>
          <w:sz w:val="44"/>
          <w:szCs w:val="30"/>
          <w:highlight w:val="none"/>
        </w:rPr>
        <w:t>项目名称：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52"/>
          <w:szCs w:val="30"/>
          <w:highlight w:val="none"/>
        </w:rPr>
      </w:pPr>
      <w:r>
        <w:rPr>
          <w:rFonts w:hint="default" w:ascii="Times New Roman" w:hAnsi="Times New Roman" w:cs="Times New Roman"/>
          <w:b/>
          <w:sz w:val="44"/>
          <w:szCs w:val="30"/>
          <w:highlight w:val="none"/>
          <w:lang w:val="en-US" w:eastAsia="zh-CN"/>
        </w:rPr>
        <w:t>项目编号：</w:t>
      </w:r>
    </w:p>
    <w:p>
      <w:pPr>
        <w:jc w:val="center"/>
        <w:rPr>
          <w:rFonts w:hint="default" w:ascii="Times New Roman" w:hAnsi="Times New Roman" w:cs="Times New Roman"/>
          <w:b/>
          <w:sz w:val="56"/>
          <w:szCs w:val="30"/>
          <w:highlight w:val="none"/>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sz w:val="96"/>
          <w:szCs w:val="30"/>
          <w:highlight w:val="none"/>
          <w:lang w:val="en-US" w:eastAsia="zh-CN"/>
        </w:rPr>
      </w:pPr>
      <w:r>
        <w:rPr>
          <w:rFonts w:hint="default" w:ascii="Times New Roman" w:hAnsi="Times New Roman" w:cs="Times New Roman"/>
          <w:b/>
          <w:sz w:val="96"/>
          <w:szCs w:val="30"/>
          <w:highlight w:val="none"/>
          <w:lang w:val="en-US" w:eastAsia="zh-CN"/>
        </w:rPr>
        <w:t>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sz w:val="96"/>
          <w:szCs w:val="30"/>
          <w:highlight w:val="none"/>
          <w:lang w:val="en-US" w:eastAsia="zh-CN"/>
        </w:rPr>
      </w:pPr>
      <w:r>
        <w:rPr>
          <w:rFonts w:hint="default" w:ascii="Times New Roman" w:hAnsi="Times New Roman" w:cs="Times New Roman"/>
          <w:b/>
          <w:sz w:val="96"/>
          <w:szCs w:val="30"/>
          <w:highlight w:val="none"/>
          <w:lang w:val="en-US" w:eastAsia="zh-CN"/>
        </w:rPr>
        <w:t>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sz w:val="96"/>
          <w:szCs w:val="30"/>
          <w:highlight w:val="none"/>
        </w:rPr>
      </w:pPr>
      <w:r>
        <w:rPr>
          <w:rFonts w:hint="default" w:ascii="Times New Roman" w:hAnsi="Times New Roman" w:cs="Times New Roman"/>
          <w:b/>
          <w:sz w:val="96"/>
          <w:szCs w:val="30"/>
          <w:highlight w:val="none"/>
        </w:rPr>
        <w:t>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b/>
          <w:sz w:val="96"/>
          <w:szCs w:val="30"/>
          <w:highlight w:val="none"/>
        </w:rPr>
      </w:pPr>
      <w:r>
        <w:rPr>
          <w:rFonts w:hint="default" w:ascii="Times New Roman" w:hAnsi="Times New Roman" w:cs="Times New Roman"/>
          <w:b/>
          <w:sz w:val="96"/>
          <w:szCs w:val="30"/>
          <w:highlight w:val="none"/>
        </w:rPr>
        <w:t>件</w:t>
      </w:r>
    </w:p>
    <w:p>
      <w:pPr>
        <w:jc w:val="center"/>
        <w:rPr>
          <w:rFonts w:hint="default" w:ascii="Times New Roman" w:hAnsi="Times New Roman" w:cs="Times New Roman"/>
          <w:b/>
          <w:sz w:val="56"/>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r>
        <w:rPr>
          <w:rFonts w:hint="default" w:ascii="Times New Roman" w:hAnsi="Times New Roman" w:cs="Times New Roman"/>
          <w:b/>
          <w:sz w:val="44"/>
          <w:szCs w:val="30"/>
          <w:highlight w:val="none"/>
          <w:lang w:val="en-US" w:eastAsia="zh-CN"/>
        </w:rPr>
        <w:t>投标</w:t>
      </w:r>
      <w:r>
        <w:rPr>
          <w:rFonts w:hint="default" w:ascii="Times New Roman" w:hAnsi="Times New Roman" w:cs="Times New Roman"/>
          <w:b/>
          <w:sz w:val="44"/>
          <w:szCs w:val="30"/>
          <w:highlight w:val="none"/>
        </w:rPr>
        <w:t>单位（盖章）：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r>
        <w:rPr>
          <w:rFonts w:hint="default" w:ascii="Times New Roman" w:hAnsi="Times New Roman" w:cs="Times New Roman"/>
          <w:b/>
          <w:sz w:val="44"/>
          <w:szCs w:val="30"/>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sz w:val="44"/>
          <w:szCs w:val="30"/>
          <w:highlight w:val="none"/>
        </w:rPr>
      </w:pPr>
      <w:r>
        <w:rPr>
          <w:rFonts w:hint="default" w:ascii="Times New Roman" w:hAnsi="Times New Roman" w:cs="Times New Roman"/>
          <w:b/>
          <w:sz w:val="44"/>
          <w:szCs w:val="30"/>
          <w:highlight w:val="none"/>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default" w:ascii="Times New Roman" w:hAnsi="Times New Roman" w:eastAsia="方正仿宋_GBK" w:cs="Times New Roman"/>
          <w:b/>
          <w:sz w:val="24"/>
          <w:szCs w:val="24"/>
          <w:lang w:val="en-US"/>
        </w:rPr>
      </w:pPr>
      <w:r>
        <w:rPr>
          <w:rFonts w:hint="default" w:ascii="Times New Roman" w:hAnsi="Times New Roman" w:cs="Times New Roman"/>
          <w:b/>
          <w:sz w:val="44"/>
          <w:szCs w:val="30"/>
          <w:highlight w:val="none"/>
          <w:lang w:val="en-US" w:eastAsia="zh-CN"/>
        </w:rPr>
        <w:t>年    月     日</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小标宋_GBK" w:cs="Times New Roman"/>
          <w:b w:val="0"/>
          <w:sz w:val="36"/>
          <w:szCs w:val="30"/>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方正小标宋_GBK" w:cs="Times New Roman"/>
          <w:b w:val="0"/>
          <w:sz w:val="36"/>
          <w:szCs w:val="30"/>
        </w:rPr>
      </w:pPr>
      <w:r>
        <w:rPr>
          <w:rFonts w:hint="default" w:ascii="Times New Roman" w:hAnsi="Times New Roman" w:eastAsia="方正小标宋_GBK" w:cs="Times New Roman"/>
          <w:b w:val="0"/>
          <w:sz w:val="36"/>
          <w:szCs w:val="30"/>
        </w:rPr>
        <w:t xml:space="preserve"> 响应文件格式要求</w:t>
      </w:r>
    </w:p>
    <w:p>
      <w:pPr>
        <w:pStyle w:val="5"/>
        <w:rPr>
          <w:rFonts w:hint="default" w:ascii="Times New Roman" w:hAnsi="Times New Roman" w:eastAsia="方正仿宋_GBK" w:cs="Times New Roman"/>
          <w:b w:val="0"/>
          <w:color w:val="auto"/>
          <w:sz w:val="28"/>
          <w:szCs w:val="28"/>
          <w:highlight w:val="yellow"/>
        </w:rPr>
      </w:pPr>
      <w:r>
        <w:rPr>
          <w:rFonts w:hint="eastAsia" w:ascii="Times New Roman" w:hAnsi="Times New Roman" w:eastAsia="方正小标宋_GBK" w:cs="Times New Roman"/>
          <w:b w:val="0"/>
          <w:color w:val="auto"/>
          <w:sz w:val="20"/>
          <w:szCs w:val="18"/>
          <w:highlight w:val="yellow"/>
          <w:lang w:val="en-US" w:eastAsia="zh-CN"/>
        </w:rPr>
        <w:t>注：供应商需按下列清单注明响应文件目录（填写时删除本条）</w:t>
      </w:r>
    </w:p>
    <w:p>
      <w:pPr>
        <w:spacing w:line="40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一、经济部分</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spacing w:line="400" w:lineRule="exact"/>
        <w:ind w:firstLine="480" w:firstLineChars="200"/>
        <w:rPr>
          <w:rFonts w:hint="eastAsia" w:ascii="Times New Roman" w:hAnsi="Times New Roman" w:eastAsia="方正仿宋_GBK" w:cs="Times New Roman"/>
          <w:color w:val="0000FF"/>
          <w:sz w:val="24"/>
          <w:szCs w:val="24"/>
          <w:lang w:eastAsia="zh-CN"/>
        </w:rPr>
      </w:pPr>
      <w:r>
        <w:rPr>
          <w:rFonts w:hint="default" w:ascii="Times New Roman" w:hAnsi="Times New Roman" w:eastAsia="方正仿宋_GBK" w:cs="Times New Roman"/>
          <w:color w:val="0000FF"/>
          <w:sz w:val="24"/>
          <w:szCs w:val="24"/>
        </w:rPr>
        <w:t>（二）明细报价表</w:t>
      </w:r>
      <w:r>
        <w:rPr>
          <w:rFonts w:hint="eastAsia" w:ascii="Times New Roman" w:hAnsi="Times New Roman" w:eastAsia="方正仿宋_GBK" w:cs="Times New Roman"/>
          <w:color w:val="0000FF"/>
          <w:sz w:val="24"/>
          <w:szCs w:val="24"/>
          <w:lang w:eastAsia="zh-CN"/>
        </w:rPr>
        <w:t>（</w:t>
      </w:r>
      <w:r>
        <w:rPr>
          <w:rFonts w:hint="eastAsia" w:ascii="Times New Roman" w:hAnsi="Times New Roman" w:eastAsia="方正仿宋_GBK" w:cs="Times New Roman"/>
          <w:color w:val="0000FF"/>
          <w:sz w:val="24"/>
          <w:szCs w:val="24"/>
          <w:lang w:val="en-US" w:eastAsia="zh-CN"/>
        </w:rPr>
        <w:t>如有</w:t>
      </w:r>
      <w:r>
        <w:rPr>
          <w:rFonts w:hint="eastAsia" w:ascii="Times New Roman" w:hAnsi="Times New Roman" w:eastAsia="方正仿宋_GBK" w:cs="Times New Roman"/>
          <w:color w:val="0000FF"/>
          <w:sz w:val="24"/>
          <w:szCs w:val="24"/>
          <w:lang w:eastAsia="zh-CN"/>
        </w:rPr>
        <w:t>）</w:t>
      </w:r>
    </w:p>
    <w:p>
      <w:pPr>
        <w:spacing w:line="40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二、技术部分</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（一）技术响应偏离表</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（二）技术方案及适用性</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（三）其他响应竞争性磋商文件提供的技术文件</w:t>
      </w:r>
    </w:p>
    <w:p>
      <w:pPr>
        <w:spacing w:line="40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w:t>
      </w:r>
      <w:r>
        <w:rPr>
          <w:rFonts w:hint="default" w:ascii="Times New Roman" w:hAnsi="Times New Roman" w:eastAsia="方正仿宋_GBK" w:cs="Times New Roman"/>
          <w:b/>
          <w:sz w:val="24"/>
          <w:szCs w:val="24"/>
          <w:lang w:val="en-US" w:eastAsia="zh-CN"/>
        </w:rPr>
        <w:t>商务</w:t>
      </w:r>
      <w:r>
        <w:rPr>
          <w:rFonts w:hint="default" w:ascii="Times New Roman" w:hAnsi="Times New Roman" w:eastAsia="方正仿宋_GBK" w:cs="Times New Roman"/>
          <w:b/>
          <w:sz w:val="24"/>
          <w:szCs w:val="24"/>
        </w:rPr>
        <w:t>部分</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商务</w:t>
      </w:r>
      <w:r>
        <w:rPr>
          <w:rFonts w:hint="default" w:ascii="Times New Roman" w:hAnsi="Times New Roman" w:eastAsia="方正仿宋_GBK" w:cs="Times New Roman"/>
          <w:sz w:val="24"/>
          <w:szCs w:val="24"/>
        </w:rPr>
        <w:t>响应偏离表</w:t>
      </w:r>
    </w:p>
    <w:p>
      <w:pPr>
        <w:spacing w:line="400" w:lineRule="exact"/>
        <w:ind w:firstLine="480" w:firstLineChars="200"/>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（二）</w:t>
      </w:r>
      <w:r>
        <w:rPr>
          <w:rFonts w:hint="eastAsia" w:ascii="方正仿宋_GBK" w:hAnsi="仿宋" w:eastAsia="方正仿宋_GBK" w:cs="仿宋"/>
          <w:color w:val="auto"/>
          <w:kern w:val="0"/>
          <w:sz w:val="24"/>
          <w:szCs w:val="28"/>
        </w:rPr>
        <w:t>其他响应竞争性磋商文件提供的</w:t>
      </w:r>
      <w:r>
        <w:rPr>
          <w:rFonts w:hint="eastAsia" w:ascii="方正仿宋_GBK" w:hAnsi="仿宋" w:eastAsia="方正仿宋_GBK" w:cs="仿宋"/>
          <w:color w:val="auto"/>
          <w:kern w:val="0"/>
          <w:sz w:val="24"/>
          <w:szCs w:val="28"/>
          <w:lang w:val="en-US" w:eastAsia="zh-CN"/>
        </w:rPr>
        <w:t>商务</w:t>
      </w:r>
      <w:r>
        <w:rPr>
          <w:rFonts w:hint="eastAsia" w:ascii="方正仿宋_GBK" w:hAnsi="仿宋" w:eastAsia="方正仿宋_GBK" w:cs="仿宋"/>
          <w:color w:val="auto"/>
          <w:kern w:val="0"/>
          <w:sz w:val="24"/>
          <w:szCs w:val="28"/>
        </w:rPr>
        <w:t>文件</w:t>
      </w:r>
    </w:p>
    <w:p>
      <w:pPr>
        <w:spacing w:line="40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四、资格条件及其他</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（四）基本资格条件承诺函（格式）</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（五）特定资格条件证书或证明文件</w:t>
      </w:r>
    </w:p>
    <w:p>
      <w:pPr>
        <w:spacing w:line="40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五、其他资料</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p>
      <w:pPr>
        <w:pStyle w:val="35"/>
        <w:rPr>
          <w:rFonts w:hint="default" w:ascii="Times New Roman" w:hAnsi="Times New Roman" w:cs="Times New Roman"/>
        </w:rPr>
        <w:sectPr>
          <w:pgSz w:w="11907" w:h="16840"/>
          <w:pgMar w:top="1134" w:right="1191" w:bottom="1134" w:left="1304" w:header="964" w:footer="992" w:gutter="0"/>
          <w:paperSrc/>
          <w:pgNumType w:fmt="numberInDash"/>
          <w:cols w:space="720" w:num="1"/>
          <w:rtlGutter w:val="0"/>
          <w:docGrid w:linePitch="380" w:charSpace="0"/>
        </w:sectPr>
      </w:pPr>
    </w:p>
    <w:p>
      <w:pPr>
        <w:pStyle w:val="4"/>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502" w:name="_Toc8593"/>
      <w:bookmarkStart w:id="503" w:name="_Toc12440"/>
      <w:bookmarkStart w:id="504" w:name="_Toc9995"/>
      <w:bookmarkStart w:id="505" w:name="_Toc9066"/>
      <w:bookmarkStart w:id="506" w:name="_Toc23901"/>
      <w:bookmarkStart w:id="507" w:name="_Toc13095"/>
      <w:bookmarkStart w:id="508" w:name="_Toc4036"/>
      <w:bookmarkStart w:id="509" w:name="_Toc24040"/>
      <w:bookmarkStart w:id="510" w:name="_Toc65660379"/>
      <w:bookmarkStart w:id="511" w:name="_Toc14244"/>
      <w:bookmarkStart w:id="512" w:name="_Toc669"/>
      <w:bookmarkStart w:id="513" w:name="_Toc313008356"/>
      <w:bookmarkStart w:id="514" w:name="_Toc342913419"/>
      <w:bookmarkStart w:id="515" w:name="_Toc10660"/>
      <w:bookmarkStart w:id="516" w:name="_Toc106034808"/>
      <w:bookmarkStart w:id="517" w:name="_Toc20862"/>
      <w:bookmarkStart w:id="518" w:name="_Toc26343"/>
      <w:bookmarkStart w:id="519" w:name="_Toc5088"/>
      <w:bookmarkStart w:id="520" w:name="_Toc1886"/>
      <w:bookmarkStart w:id="521" w:name="_Toc9456"/>
      <w:bookmarkStart w:id="522" w:name="_Toc30982"/>
      <w:bookmarkStart w:id="523" w:name="_Toc313888360"/>
      <w:bookmarkStart w:id="524" w:name="_Toc12789073"/>
      <w:bookmarkStart w:id="525" w:name="_Toc283382454"/>
      <w:r>
        <w:rPr>
          <w:rFonts w:hint="default" w:ascii="Times New Roman" w:hAnsi="Times New Roman" w:eastAsia="方正仿宋_GBK" w:cs="Times New Roman"/>
          <w:sz w:val="24"/>
        </w:rPr>
        <w:t>一、经济部分</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bookmarkEnd w:id="524"/>
    <w:bookmarkEnd w:id="525"/>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562" w:firstLineChars="200"/>
        <w:jc w:val="center"/>
        <w:rPr>
          <w:rFonts w:hint="default" w:ascii="Times New Roman" w:hAnsi="Times New Roman" w:eastAsia="方正仿宋_GBK" w:cs="Times New Roman"/>
          <w:b/>
          <w:szCs w:val="28"/>
        </w:rPr>
      </w:pPr>
      <w:r>
        <w:rPr>
          <w:rFonts w:hint="default" w:ascii="Times New Roman" w:hAnsi="Times New Roman" w:eastAsia="方正仿宋_GBK" w:cs="Times New Roman"/>
          <w:b/>
          <w:szCs w:val="28"/>
        </w:rPr>
        <w:t>报价函</w:t>
      </w:r>
    </w:p>
    <w:p>
      <w:pPr>
        <w:tabs>
          <w:tab w:val="left" w:pos="6300"/>
        </w:tabs>
        <w:snapToGrid w:val="0"/>
        <w:spacing w:line="312" w:lineRule="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项目名称）的</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，经详细研究，决定参加该</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项目的报价。</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中的一切要求，提供本项目的交货及技术服务，项目初始报价（总价）为人民币大写：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元。以我公司报价为准。</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w:t>
      </w:r>
      <w:r>
        <w:rPr>
          <w:rFonts w:hint="eastAsia" w:ascii="Times New Roman" w:hAnsi="Times New Roman" w:eastAsia="方正仿宋_GBK" w:cs="Times New Roman"/>
          <w:sz w:val="24"/>
          <w:szCs w:val="24"/>
          <w:lang w:val="en-US" w:eastAsia="zh-CN"/>
        </w:rPr>
        <w:t>纸质版</w:t>
      </w:r>
      <w:r>
        <w:rPr>
          <w:rFonts w:hint="default"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u w:val="single"/>
          <w:lang w:val="en-US" w:eastAsia="zh-CN"/>
        </w:rPr>
        <w:t>壹</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3.我方承诺：本次报价的有效期为提交响应文件截止时间起90天。</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的一切规定和要求及评审办法。</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5.在整个</w:t>
      </w: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过程中，我方若有违规行为，接受按照《中华人民共和国政府采购法》和《</w:t>
      </w:r>
      <w:r>
        <w:rPr>
          <w:rFonts w:hint="eastAsia" w:ascii="Times New Roman" w:hAnsi="Times New Roman" w:eastAsia="方正仿宋_GBK" w:cs="Times New Roman"/>
          <w:sz w:val="24"/>
          <w:szCs w:val="24"/>
          <w:lang w:eastAsia="zh-CN"/>
        </w:rPr>
        <w:t>竞争性磋商文件</w:t>
      </w:r>
      <w:r>
        <w:rPr>
          <w:rFonts w:hint="default" w:ascii="Times New Roman" w:hAnsi="Times New Roman" w:eastAsia="方正仿宋_GBK" w:cs="Times New Roman"/>
          <w:sz w:val="24"/>
          <w:szCs w:val="24"/>
        </w:rPr>
        <w:t>》之规定给予惩罚。</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8"/>
        </w:rPr>
        <w:t>我方未</w:t>
      </w:r>
      <w:r>
        <w:rPr>
          <w:rFonts w:hint="default" w:ascii="Times New Roman" w:hAnsi="Times New Roman" w:eastAsia="方正仿宋_GBK" w:cs="Times New Roman"/>
          <w:sz w:val="24"/>
          <w:szCs w:val="24"/>
        </w:rPr>
        <w:t>为采购项目提供整体设计、规范编制或者项目管理、监理、检测等服务。</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tabs>
          <w:tab w:val="left" w:pos="6300"/>
        </w:tabs>
        <w:snapToGrid w:val="0"/>
        <w:spacing w:line="312" w:lineRule="auto"/>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snapToGrid w:val="0"/>
        <w:spacing w:line="312" w:lineRule="auto"/>
        <w:ind w:firstLine="480" w:firstLineChars="200"/>
        <w:rPr>
          <w:rFonts w:hint="default" w:ascii="Times New Roman" w:hAnsi="Times New Roman" w:eastAsia="方正仿宋_GBK" w:cs="Times New Roman"/>
          <w:sz w:val="24"/>
          <w:szCs w:val="24"/>
        </w:rPr>
        <w:sectPr>
          <w:pgSz w:w="11907" w:h="16840"/>
          <w:pgMar w:top="1134" w:right="1191" w:bottom="1134" w:left="1304" w:header="964" w:footer="992" w:gutter="0"/>
          <w:paperSrc/>
          <w:pgNumType w:fmt="numberInDash"/>
          <w:cols w:space="720" w:num="1"/>
          <w:rtlGutter w:val="0"/>
          <w:docGrid w:linePitch="380" w:charSpace="0"/>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项目号：                           </w:t>
      </w:r>
    </w:p>
    <w:p>
      <w:pPr>
        <w:spacing w:line="400" w:lineRule="exact"/>
        <w:ind w:firstLine="480" w:firstLineChars="20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项目名称：</w:t>
      </w:r>
    </w:p>
    <w:p>
      <w:pPr>
        <w:snapToGrid w:val="0"/>
        <w:spacing w:line="500" w:lineRule="exact"/>
        <w:rPr>
          <w:rFonts w:hint="default" w:ascii="Times New Roman" w:hAnsi="Times New Roman" w:eastAsia="方正仿宋_GBK" w:cs="Times New Roman"/>
          <w:sz w:val="24"/>
          <w:szCs w:val="28"/>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25"/>
        <w:gridCol w:w="2315"/>
        <w:gridCol w:w="1185"/>
        <w:gridCol w:w="1140"/>
        <w:gridCol w:w="795"/>
        <w:gridCol w:w="85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93"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62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lang w:val="en-US" w:eastAsia="zh-CN"/>
              </w:rPr>
              <w:t>产品</w:t>
            </w:r>
            <w:r>
              <w:rPr>
                <w:rFonts w:hint="default" w:ascii="Times New Roman" w:hAnsi="Times New Roman" w:eastAsia="仿宋" w:cs="Times New Roman"/>
                <w:b/>
                <w:color w:val="auto"/>
                <w:sz w:val="24"/>
                <w:szCs w:val="24"/>
              </w:rPr>
              <w:t>名称</w:t>
            </w:r>
          </w:p>
        </w:tc>
        <w:tc>
          <w:tcPr>
            <w:tcW w:w="231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品牌、规格型号</w:t>
            </w:r>
          </w:p>
        </w:tc>
        <w:tc>
          <w:tcPr>
            <w:tcW w:w="118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制造商</w:t>
            </w:r>
          </w:p>
        </w:tc>
        <w:tc>
          <w:tcPr>
            <w:tcW w:w="1140"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原产地</w:t>
            </w:r>
          </w:p>
        </w:tc>
        <w:tc>
          <w:tcPr>
            <w:tcW w:w="79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数量</w:t>
            </w:r>
          </w:p>
        </w:tc>
        <w:tc>
          <w:tcPr>
            <w:tcW w:w="855"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单价</w:t>
            </w:r>
          </w:p>
        </w:tc>
        <w:tc>
          <w:tcPr>
            <w:tcW w:w="820" w:type="dxa"/>
            <w:noWrap w:val="0"/>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left"/>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left"/>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outlineLvl w:val="9"/>
              <w:rPr>
                <w:rFonts w:hint="default" w:ascii="Times New Roman" w:hAnsi="Times New Roman" w:eastAsia="仿宋" w:cs="Times New Roman"/>
                <w:color w:val="auto"/>
                <w:sz w:val="24"/>
                <w:szCs w:val="24"/>
                <w:lang w:val="en-US" w:eastAsia="zh-CN"/>
              </w:rPr>
            </w:pP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625" w:type="dxa"/>
            <w:noWrap w:val="0"/>
            <w:vAlign w:val="center"/>
          </w:tcPr>
          <w:p>
            <w:pPr>
              <w:jc w:val="center"/>
              <w:rPr>
                <w:rFonts w:hint="default" w:ascii="Times New Roman" w:hAnsi="Times New Roman" w:eastAsia="仿宋" w:cs="Times New Roman"/>
                <w:color w:val="auto"/>
                <w:sz w:val="24"/>
                <w:szCs w:val="24"/>
              </w:rPr>
            </w:pP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62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2315" w:type="dxa"/>
            <w:noWrap w:val="0"/>
            <w:vAlign w:val="top"/>
          </w:tcPr>
          <w:p>
            <w:pPr>
              <w:jc w:val="center"/>
              <w:rPr>
                <w:rFonts w:hint="default" w:ascii="Times New Roman" w:hAnsi="Times New Roman" w:eastAsia="仿宋" w:cs="Times New Roman"/>
                <w:color w:val="auto"/>
                <w:sz w:val="24"/>
                <w:szCs w:val="24"/>
              </w:rPr>
            </w:pPr>
          </w:p>
        </w:tc>
        <w:tc>
          <w:tcPr>
            <w:tcW w:w="1185" w:type="dxa"/>
            <w:noWrap w:val="0"/>
            <w:vAlign w:val="top"/>
          </w:tcPr>
          <w:p>
            <w:pPr>
              <w:jc w:val="center"/>
              <w:rPr>
                <w:rFonts w:hint="default" w:ascii="Times New Roman" w:hAnsi="Times New Roman" w:eastAsia="仿宋" w:cs="Times New Roman"/>
                <w:color w:val="auto"/>
                <w:sz w:val="24"/>
                <w:szCs w:val="24"/>
              </w:rPr>
            </w:pPr>
          </w:p>
        </w:tc>
        <w:tc>
          <w:tcPr>
            <w:tcW w:w="1140" w:type="dxa"/>
            <w:noWrap w:val="0"/>
            <w:vAlign w:val="top"/>
          </w:tcPr>
          <w:p>
            <w:pPr>
              <w:jc w:val="center"/>
              <w:rPr>
                <w:rFonts w:hint="default" w:ascii="Times New Roman" w:hAnsi="Times New Roman" w:eastAsia="仿宋" w:cs="Times New Roman"/>
                <w:color w:val="auto"/>
                <w:sz w:val="24"/>
                <w:szCs w:val="24"/>
              </w:rPr>
            </w:pPr>
          </w:p>
        </w:tc>
        <w:tc>
          <w:tcPr>
            <w:tcW w:w="79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855" w:type="dxa"/>
            <w:noWrap w:val="0"/>
            <w:vAlign w:val="top"/>
          </w:tcPr>
          <w:p>
            <w:pPr>
              <w:jc w:val="center"/>
              <w:rPr>
                <w:rFonts w:hint="default" w:ascii="Times New Roman" w:hAnsi="Times New Roman" w:eastAsia="仿宋" w:cs="Times New Roman"/>
                <w:color w:val="auto"/>
                <w:sz w:val="24"/>
                <w:szCs w:val="24"/>
              </w:rPr>
            </w:pPr>
          </w:p>
        </w:tc>
        <w:tc>
          <w:tcPr>
            <w:tcW w:w="820" w:type="dxa"/>
            <w:noWrap w:val="0"/>
            <w:vAlign w:val="top"/>
          </w:tcPr>
          <w:p>
            <w:pPr>
              <w:jc w:val="center"/>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3" w:type="dxa"/>
            <w:noWrap w:val="0"/>
            <w:vAlign w:val="center"/>
          </w:tcPr>
          <w:p>
            <w:pPr>
              <w:pStyle w:val="24"/>
              <w:spacing w:line="240" w:lineRule="auto"/>
              <w:ind w:left="1540" w:hanging="420"/>
              <w:jc w:val="center"/>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625" w:type="dxa"/>
            <w:noWrap w:val="0"/>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合计</w:t>
            </w:r>
          </w:p>
        </w:tc>
        <w:tc>
          <w:tcPr>
            <w:tcW w:w="7110" w:type="dxa"/>
            <w:gridSpan w:val="6"/>
            <w:noWrap w:val="0"/>
            <w:vAlign w:val="top"/>
          </w:tcPr>
          <w:p>
            <w:pPr>
              <w:jc w:val="center"/>
              <w:rPr>
                <w:rFonts w:hint="default" w:ascii="Times New Roman" w:hAnsi="Times New Roman" w:eastAsia="仿宋" w:cs="Times New Roman"/>
                <w:color w:val="auto"/>
                <w:sz w:val="24"/>
                <w:szCs w:val="24"/>
              </w:rPr>
            </w:pPr>
          </w:p>
        </w:tc>
      </w:tr>
    </w:tbl>
    <w:p>
      <w:pPr>
        <w:outlineLvl w:val="9"/>
        <w:rPr>
          <w:rFonts w:hint="default" w:ascii="Times New Roman" w:hAnsi="Times New Roman" w:cs="Times New Roman"/>
        </w:rPr>
      </w:pP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注：1.供应商应完整填写本表。</w:t>
      </w: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2.该表可扩展</w:t>
      </w:r>
      <w:bookmarkStart w:id="526" w:name="OLE_LINK1"/>
      <w:bookmarkStart w:id="527" w:name="OLE_LINK2"/>
      <w:r>
        <w:rPr>
          <w:rFonts w:hint="default" w:ascii="Times New Roman" w:hAnsi="Times New Roman" w:eastAsia="方正仿宋_GBK" w:cs="Times New Roman"/>
          <w:sz w:val="24"/>
          <w:szCs w:val="28"/>
        </w:rPr>
        <w:t>。</w:t>
      </w:r>
      <w:bookmarkEnd w:id="526"/>
      <w:bookmarkEnd w:id="527"/>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38"/>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供应商名称（公章）或自然人签署：</w:t>
      </w:r>
    </w:p>
    <w:p>
      <w:pPr>
        <w:snapToGrid/>
        <w:spacing w:line="360" w:lineRule="auto"/>
        <w:ind w:right="480" w:firstLine="6480" w:firstLineChars="2700"/>
        <w:rPr>
          <w:rFonts w:hint="default" w:ascii="Times New Roman" w:hAnsi="Times New Roman" w:eastAsia="方正仿宋_GBK" w:cs="Times New Roman"/>
          <w:sz w:val="24"/>
          <w:szCs w:val="24"/>
          <w:bdr w:val="single" w:color="auto" w:sz="4" w:space="0"/>
        </w:rPr>
        <w:sectPr>
          <w:pgSz w:w="11907" w:h="16840"/>
          <w:pgMar w:top="1134" w:right="1191" w:bottom="1134" w:left="1304" w:header="964" w:footer="992" w:gutter="0"/>
          <w:paperSrc/>
          <w:pgNumType w:fmt="numberInDash"/>
          <w:cols w:space="720" w:num="1"/>
          <w:rtlGutter w:val="0"/>
          <w:docGrid w:linePitch="380" w:charSpace="0"/>
        </w:sectPr>
      </w:pPr>
      <w:r>
        <w:rPr>
          <w:rFonts w:hint="default" w:ascii="Times New Roman" w:hAnsi="Times New Roman" w:eastAsia="方正仿宋_GBK" w:cs="Times New Roman"/>
          <w:sz w:val="24"/>
          <w:szCs w:val="24"/>
        </w:rPr>
        <w:t>年     月    日</w:t>
      </w:r>
    </w:p>
    <w:p>
      <w:pPr>
        <w:pStyle w:val="4"/>
        <w:adjustRightInd w:val="0"/>
        <w:snapToGrid w:val="0"/>
        <w:spacing w:line="400" w:lineRule="exact"/>
        <w:rPr>
          <w:rFonts w:hint="default" w:ascii="Times New Roman" w:hAnsi="Times New Roman" w:eastAsia="方正仿宋_GBK" w:cs="Times New Roman"/>
          <w:b/>
          <w:bCs w:val="0"/>
          <w:sz w:val="24"/>
          <w:szCs w:val="20"/>
        </w:rPr>
      </w:pPr>
      <w:bookmarkStart w:id="528" w:name="_Toc14079"/>
      <w:bookmarkStart w:id="529" w:name="_Toc342913420"/>
      <w:bookmarkStart w:id="530" w:name="_Toc16388"/>
      <w:bookmarkStart w:id="531" w:name="_Toc2814"/>
      <w:bookmarkStart w:id="532" w:name="_Toc22655"/>
      <w:bookmarkStart w:id="533" w:name="_Toc28547"/>
      <w:bookmarkStart w:id="534" w:name="_Toc106034809"/>
      <w:bookmarkStart w:id="535" w:name="_Toc313008357"/>
      <w:bookmarkStart w:id="536" w:name="_Toc12684"/>
      <w:bookmarkStart w:id="537" w:name="_Toc14073"/>
      <w:bookmarkStart w:id="538" w:name="_Toc14531"/>
      <w:bookmarkStart w:id="539" w:name="_Toc26085"/>
      <w:bookmarkStart w:id="540" w:name="_Toc2703"/>
      <w:bookmarkStart w:id="541" w:name="_Toc313888361"/>
      <w:bookmarkStart w:id="542" w:name="_Toc20538"/>
      <w:bookmarkStart w:id="543" w:name="_Toc25097"/>
      <w:bookmarkStart w:id="544" w:name="_Toc65660380"/>
      <w:r>
        <w:rPr>
          <w:rFonts w:hint="default" w:ascii="Times New Roman" w:hAnsi="Times New Roman" w:eastAsia="方正仿宋_GBK" w:cs="Times New Roman"/>
          <w:b/>
          <w:bCs w:val="0"/>
          <w:sz w:val="24"/>
          <w:szCs w:val="20"/>
        </w:rPr>
        <w:t>二、技术部分</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（一）</w:t>
      </w:r>
      <w:r>
        <w:rPr>
          <w:rFonts w:hint="eastAsia" w:ascii="方正仿宋_GBK" w:hAnsi="仿宋" w:eastAsia="方正仿宋_GBK" w:cs="仿宋"/>
          <w:color w:val="auto"/>
          <w:kern w:val="0"/>
          <w:sz w:val="24"/>
          <w:szCs w:val="28"/>
          <w:lang w:val="en-US" w:eastAsia="zh-CN"/>
        </w:rPr>
        <w:t>技术部分</w:t>
      </w:r>
      <w:r>
        <w:rPr>
          <w:rFonts w:hint="eastAsia" w:ascii="方正仿宋_GBK" w:hAnsi="仿宋" w:eastAsia="方正仿宋_GBK" w:cs="仿宋"/>
          <w:color w:val="auto"/>
          <w:kern w:val="0"/>
          <w:sz w:val="24"/>
          <w:szCs w:val="28"/>
        </w:rPr>
        <w:t>响应情况</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lang w:val="en-US" w:eastAsia="zh-CN"/>
        </w:rPr>
        <w:t>服务方案</w:t>
      </w:r>
      <w:r>
        <w:rPr>
          <w:rFonts w:hint="eastAsia" w:ascii="方正仿宋_GBK" w:hAnsi="仿宋" w:eastAsia="方正仿宋_GBK" w:cs="仿宋"/>
          <w:color w:val="auto"/>
          <w:kern w:val="0"/>
          <w:sz w:val="24"/>
          <w:szCs w:val="28"/>
        </w:rPr>
        <w:t>等（格式自定）</w:t>
      </w: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Style w:val="35"/>
        <w:pageBreakBefore w:val="0"/>
        <w:widowControl w:val="0"/>
        <w:kinsoku/>
        <w:wordWrap/>
        <w:overflowPunct/>
        <w:topLinePunct w:val="0"/>
        <w:autoSpaceDE/>
        <w:autoSpaceDN/>
        <w:bidi w:val="0"/>
        <w:textAlignment w:val="auto"/>
        <w:outlineLvl w:val="9"/>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）技术响应偏离表</w:t>
      </w:r>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r>
        <w:rPr>
          <w:rFonts w:hint="default" w:ascii="Times New Roman" w:hAnsi="Times New Roman" w:eastAsia="方正仿宋_GBK" w:cs="Times New Roman"/>
          <w:sz w:val="24"/>
          <w:szCs w:val="24"/>
          <w:lang w:val="en-US" w:eastAsia="zh-CN"/>
        </w:rPr>
        <w:t>编</w:t>
      </w:r>
      <w:r>
        <w:rPr>
          <w:rFonts w:hint="default" w:ascii="Times New Roman" w:hAnsi="Times New Roman" w:eastAsia="方正仿宋_GBK" w:cs="Times New Roman"/>
          <w:sz w:val="24"/>
          <w:szCs w:val="24"/>
        </w:rPr>
        <w:t xml:space="preserve">号：                               </w:t>
      </w:r>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序号</w:t>
            </w: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采购需求</w:t>
            </w: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响应情况</w:t>
            </w: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务必逐条响应</w:t>
            </w: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提醒：请注明技术参数或具体内容</w:t>
            </w:r>
            <w:r>
              <w:rPr>
                <w:rFonts w:hint="default" w:ascii="Times New Roman" w:hAnsi="Times New Roman" w:eastAsia="方正仿宋_GBK" w:cs="Times New Roman"/>
                <w:sz w:val="21"/>
                <w:szCs w:val="21"/>
                <w:lang w:eastAsia="zh-CN"/>
              </w:rPr>
              <w:t>，</w:t>
            </w:r>
            <w:r>
              <w:rPr>
                <w:rFonts w:hint="default" w:ascii="Times New Roman" w:hAnsi="Times New Roman" w:eastAsia="仿宋" w:cs="Times New Roman"/>
                <w:color w:val="auto"/>
                <w:sz w:val="21"/>
                <w:szCs w:val="21"/>
                <w:highlight w:val="none"/>
              </w:rPr>
              <w:t>且必须标注技术参数或具体内容在</w:t>
            </w:r>
            <w:r>
              <w:rPr>
                <w:rFonts w:hint="default" w:ascii="Times New Roman" w:hAnsi="Times New Roman" w:eastAsia="仿宋" w:cs="Times New Roman"/>
                <w:color w:val="auto"/>
                <w:sz w:val="21"/>
                <w:szCs w:val="21"/>
                <w:highlight w:val="none"/>
                <w:lang w:val="en-US" w:eastAsia="zh-CN"/>
              </w:rPr>
              <w:t>响应文件</w:t>
            </w:r>
            <w:r>
              <w:rPr>
                <w:rFonts w:hint="default" w:ascii="Times New Roman" w:hAnsi="Times New Roman" w:eastAsia="仿宋" w:cs="Times New Roman"/>
                <w:color w:val="auto"/>
                <w:sz w:val="21"/>
                <w:szCs w:val="21"/>
                <w:highlight w:val="none"/>
              </w:rPr>
              <w:t>中的位置（页码）。</w:t>
            </w: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84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95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c>
          <w:tcPr>
            <w:tcW w:w="22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1"/>
              </w:rPr>
            </w:pPr>
          </w:p>
        </w:tc>
      </w:tr>
    </w:tbl>
    <w:p>
      <w:pPr>
        <w:pageBreakBefore w:val="0"/>
        <w:widowControl w:val="0"/>
        <w:kinsoku/>
        <w:wordWrap/>
        <w:overflowPunct/>
        <w:topLinePunct w:val="0"/>
        <w:autoSpaceDE/>
        <w:autoSpaceDN/>
        <w:bidi w:val="0"/>
        <w:spacing w:line="500" w:lineRule="exact"/>
        <w:ind w:firstLine="600" w:firstLineChars="250"/>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4"/>
        </w:rPr>
        <w:t>法定代表人（或其授权代表）或自然人</w:t>
      </w:r>
      <w:r>
        <w:rPr>
          <w:rFonts w:hint="default" w:ascii="Times New Roman" w:hAnsi="Times New Roman" w:eastAsia="方正仿宋_GBK" w:cs="Times New Roman"/>
          <w:sz w:val="24"/>
          <w:szCs w:val="28"/>
        </w:rPr>
        <w:t>：</w:t>
      </w:r>
    </w:p>
    <w:p>
      <w:pPr>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pageBreakBefore w:val="0"/>
        <w:widowControl w:val="0"/>
        <w:kinsoku/>
        <w:wordWrap/>
        <w:overflowPunct/>
        <w:topLinePunct w:val="0"/>
        <w:autoSpaceDE/>
        <w:autoSpaceDN/>
        <w:bidi w:val="0"/>
        <w:spacing w:line="500" w:lineRule="exact"/>
        <w:ind w:firstLine="720" w:firstLineChars="300"/>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w:t>
      </w:r>
      <w:r>
        <w:rPr>
          <w:rFonts w:hint="default" w:ascii="Times New Roman" w:hAnsi="Times New Roman" w:eastAsia="方正仿宋_GBK" w:cs="Times New Roman"/>
          <w:sz w:val="24"/>
          <w:szCs w:val="24"/>
        </w:rPr>
        <w:t>签署</w:t>
      </w:r>
      <w:r>
        <w:rPr>
          <w:rFonts w:hint="default" w:ascii="Times New Roman" w:hAnsi="Times New Roman" w:eastAsia="方正仿宋_GBK" w:cs="Times New Roman"/>
          <w:sz w:val="24"/>
          <w:szCs w:val="28"/>
        </w:rPr>
        <w:t>或盖章）</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pPr>
        <w:pageBreakBefore w:val="0"/>
        <w:widowControl w:val="0"/>
        <w:tabs>
          <w:tab w:val="left" w:pos="6300"/>
        </w:tabs>
        <w:kinsoku/>
        <w:wordWrap/>
        <w:overflowPunct/>
        <w:topLinePunct w:val="0"/>
        <w:autoSpaceDE/>
        <w:autoSpaceDN/>
        <w:bidi w:val="0"/>
        <w:snapToGrid w:val="0"/>
        <w:spacing w:line="400" w:lineRule="exact"/>
        <w:ind w:firstLine="480" w:firstLineChars="20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1.本表即为对本项目</w:t>
      </w:r>
      <w:bookmarkStart w:id="545" w:name="_Hlk82769827"/>
      <w:r>
        <w:rPr>
          <w:rFonts w:hint="default" w:ascii="Times New Roman" w:hAnsi="Times New Roman" w:eastAsia="仿宋" w:cs="Times New Roman"/>
          <w:color w:val="auto"/>
          <w:sz w:val="24"/>
          <w:szCs w:val="24"/>
          <w:highlight w:val="none"/>
        </w:rPr>
        <w:t xml:space="preserve">“第二篇 </w:t>
      </w:r>
      <w:r>
        <w:rPr>
          <w:rFonts w:hint="eastAsia" w:ascii="Times New Roman" w:hAnsi="Times New Roman" w:eastAsia="仿宋" w:cs="Times New Roman"/>
          <w:color w:val="auto"/>
          <w:sz w:val="24"/>
          <w:szCs w:val="24"/>
          <w:highlight w:val="none"/>
          <w:lang w:eastAsia="zh-CN"/>
        </w:rPr>
        <w:t>磋商</w:t>
      </w:r>
      <w:r>
        <w:rPr>
          <w:rFonts w:hint="default" w:ascii="Times New Roman" w:hAnsi="Times New Roman" w:eastAsia="仿宋" w:cs="Times New Roman"/>
          <w:color w:val="auto"/>
          <w:sz w:val="24"/>
          <w:szCs w:val="24"/>
          <w:highlight w:val="none"/>
          <w:lang w:eastAsia="zh-CN"/>
        </w:rPr>
        <w:t>项目技术需求</w:t>
      </w:r>
      <w:r>
        <w:rPr>
          <w:rFonts w:hint="default" w:ascii="Times New Roman" w:hAnsi="Times New Roman" w:eastAsia="仿宋" w:cs="Times New Roman"/>
          <w:color w:val="auto"/>
          <w:sz w:val="24"/>
          <w:szCs w:val="24"/>
          <w:highlight w:val="none"/>
        </w:rPr>
        <w:t>”</w:t>
      </w:r>
      <w:bookmarkEnd w:id="545"/>
      <w:r>
        <w:rPr>
          <w:rFonts w:hint="default" w:ascii="Times New Roman" w:hAnsi="Times New Roman" w:eastAsia="仿宋" w:cs="Times New Roman"/>
          <w:color w:val="auto"/>
          <w:sz w:val="24"/>
          <w:szCs w:val="24"/>
          <w:highlight w:val="none"/>
        </w:rPr>
        <w:t>中所列条款进行比较和响应，应逐条如实填写，“响应应答”中必须列出具体数值或内容。如供应商未应答或只注明“符合”、“满足”等类似无具体数值或内容的表述，视为不满足对应条款；</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2.该表必须按照</w:t>
      </w:r>
      <w:r>
        <w:rPr>
          <w:rFonts w:hint="eastAsia" w:ascii="Times New Roman" w:hAnsi="Times New Roman" w:eastAsia="仿宋" w:cs="Times New Roman"/>
          <w:color w:val="auto"/>
          <w:sz w:val="24"/>
          <w:szCs w:val="24"/>
          <w:highlight w:val="none"/>
          <w:lang w:eastAsia="zh-CN"/>
        </w:rPr>
        <w:t>竞争性磋商文件</w:t>
      </w:r>
      <w:r>
        <w:rPr>
          <w:rFonts w:hint="default" w:ascii="Times New Roman" w:hAnsi="Times New Roman" w:eastAsia="仿宋" w:cs="Times New Roman"/>
          <w:color w:val="auto"/>
          <w:sz w:val="24"/>
          <w:szCs w:val="24"/>
          <w:highlight w:val="none"/>
        </w:rPr>
        <w:t>要求逐条如实填写，根据响应情况在“差异说明”项填写正偏离或负偏离及原因，完全符合的填写“无差异”；</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3.该表可扩展；</w:t>
      </w:r>
    </w:p>
    <w:p>
      <w:pPr>
        <w:pageBreakBefore w:val="0"/>
        <w:widowControl w:val="0"/>
        <w:kinsoku/>
        <w:wordWrap/>
        <w:overflowPunct/>
        <w:topLinePunct w:val="0"/>
        <w:autoSpaceDE/>
        <w:autoSpaceDN/>
        <w:bidi w:val="0"/>
        <w:snapToGrid/>
        <w:spacing w:line="240" w:lineRule="auto"/>
        <w:ind w:firstLine="438" w:firstLineChars="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4.可附相关技术支撑材料（格式自定）。</w:t>
      </w:r>
    </w:p>
    <w:p>
      <w:pPr>
        <w:pageBreakBefore w:val="0"/>
        <w:widowControl w:val="0"/>
        <w:kinsoku/>
        <w:wordWrap/>
        <w:overflowPunct/>
        <w:topLinePunct w:val="0"/>
        <w:autoSpaceDE/>
        <w:autoSpaceDN/>
        <w:bidi w:val="0"/>
        <w:snapToGrid/>
        <w:spacing w:line="240" w:lineRule="auto"/>
        <w:ind w:firstLine="438" w:firstLineChars="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5</w:t>
      </w:r>
      <w:r>
        <w:rPr>
          <w:rFonts w:hint="default" w:ascii="Times New Roman" w:hAnsi="Times New Roman" w:eastAsia="仿宋" w:cs="Times New Roman"/>
          <w:color w:val="auto"/>
          <w:sz w:val="24"/>
          <w:szCs w:val="24"/>
          <w:highlight w:val="none"/>
          <w:lang w:val="en-US" w:eastAsia="zh-CN"/>
        </w:rPr>
        <w:t>.响应情况</w:t>
      </w:r>
      <w:r>
        <w:rPr>
          <w:rFonts w:hint="default" w:ascii="Times New Roman" w:hAnsi="Times New Roman" w:eastAsia="仿宋" w:cs="Times New Roman"/>
          <w:color w:val="auto"/>
          <w:sz w:val="24"/>
          <w:szCs w:val="24"/>
          <w:highlight w:val="none"/>
        </w:rPr>
        <w:t>栏中应当注明技术参数或具体内容，且必须标注技术参数或具体内容在</w:t>
      </w:r>
      <w:r>
        <w:rPr>
          <w:rFonts w:hint="default" w:ascii="Times New Roman" w:hAnsi="Times New Roman" w:eastAsia="仿宋" w:cs="Times New Roman"/>
          <w:color w:val="auto"/>
          <w:sz w:val="24"/>
          <w:szCs w:val="24"/>
          <w:highlight w:val="none"/>
          <w:lang w:val="en-US" w:eastAsia="zh-CN"/>
        </w:rPr>
        <w:t>响应文件</w:t>
      </w:r>
      <w:r>
        <w:rPr>
          <w:rFonts w:hint="default" w:ascii="Times New Roman" w:hAnsi="Times New Roman" w:eastAsia="仿宋" w:cs="Times New Roman"/>
          <w:color w:val="auto"/>
          <w:sz w:val="24"/>
          <w:szCs w:val="24"/>
          <w:highlight w:val="none"/>
        </w:rPr>
        <w:t>中的位置（页码）。</w:t>
      </w:r>
    </w:p>
    <w:p>
      <w:pPr>
        <w:pageBreakBefore w:val="0"/>
        <w:widowControl w:val="0"/>
        <w:tabs>
          <w:tab w:val="left" w:pos="6300"/>
        </w:tabs>
        <w:kinsoku/>
        <w:wordWrap/>
        <w:overflowPunct/>
        <w:topLinePunct w:val="0"/>
        <w:autoSpaceDE/>
        <w:autoSpaceDN/>
        <w:bidi w:val="0"/>
        <w:snapToGrid w:val="0"/>
        <w:spacing w:line="500" w:lineRule="exact"/>
        <w:ind w:firstLine="480" w:firstLineChars="20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w:t>
      </w:r>
      <w:r>
        <w:rPr>
          <w:rFonts w:hint="eastAsia" w:ascii="方正仿宋_GBK" w:hAnsi="仿宋" w:eastAsia="方正仿宋_GBK" w:cs="仿宋"/>
          <w:color w:val="auto"/>
          <w:kern w:val="0"/>
          <w:sz w:val="24"/>
          <w:szCs w:val="28"/>
        </w:rPr>
        <w:t>其他响应竞争性磋商文件提供的技术文件</w:t>
      </w:r>
    </w:p>
    <w:p>
      <w:pPr>
        <w:pageBreakBefore w:val="0"/>
        <w:widowControl w:val="0"/>
        <w:tabs>
          <w:tab w:val="left" w:pos="6300"/>
        </w:tabs>
        <w:kinsoku/>
        <w:wordWrap/>
        <w:overflowPunct/>
        <w:topLinePunct w:val="0"/>
        <w:autoSpaceDE/>
        <w:autoSpaceDN/>
        <w:bidi w:val="0"/>
        <w:snapToGrid w:val="0"/>
        <w:spacing w:line="500" w:lineRule="exact"/>
        <w:ind w:firstLine="480" w:firstLineChars="200"/>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0" w:after="0" w:line="400" w:lineRule="exact"/>
        <w:ind w:firstLine="562" w:firstLineChars="200"/>
        <w:textAlignment w:val="auto"/>
        <w:outlineLvl w:val="1"/>
        <w:rPr>
          <w:rFonts w:hint="default" w:ascii="Times New Roman" w:hAnsi="Times New Roman" w:eastAsia="方正仿宋_GBK" w:cs="Times New Roman"/>
          <w:sz w:val="24"/>
        </w:rPr>
      </w:pPr>
      <w:r>
        <w:rPr>
          <w:rFonts w:hint="default" w:ascii="Times New Roman" w:hAnsi="Times New Roman" w:eastAsia="方正仿宋_GBK" w:cs="Times New Roman"/>
          <w:b/>
        </w:rPr>
        <w:br w:type="page"/>
      </w:r>
      <w:bookmarkStart w:id="546" w:name="_Toc5568"/>
      <w:bookmarkStart w:id="547" w:name="_Toc24566"/>
      <w:bookmarkStart w:id="548" w:name="_Toc11637"/>
      <w:bookmarkStart w:id="549" w:name="_Toc4270"/>
      <w:bookmarkStart w:id="550" w:name="_Toc30989"/>
      <w:bookmarkStart w:id="551" w:name="_Toc12780"/>
      <w:bookmarkStart w:id="552" w:name="_Toc32158"/>
      <w:bookmarkStart w:id="553" w:name="_Toc20517"/>
      <w:bookmarkStart w:id="554" w:name="_Toc3341"/>
      <w:bookmarkStart w:id="555" w:name="_Toc8268"/>
      <w:bookmarkStart w:id="556" w:name="_Toc106034810"/>
      <w:bookmarkStart w:id="557" w:name="_Toc1869"/>
      <w:bookmarkStart w:id="558" w:name="_Toc32339"/>
      <w:bookmarkStart w:id="559" w:name="_Toc16740"/>
      <w:bookmarkStart w:id="560" w:name="_Toc27717"/>
      <w:bookmarkStart w:id="561" w:name="_Toc65660381"/>
      <w:bookmarkStart w:id="562" w:name="_Toc10460"/>
      <w:bookmarkStart w:id="563" w:name="_Toc26479"/>
      <w:bookmarkStart w:id="564" w:name="_Toc28405"/>
      <w:bookmarkStart w:id="565" w:name="_Toc313888362"/>
      <w:bookmarkStart w:id="566" w:name="_Toc342913421"/>
      <w:bookmarkStart w:id="567" w:name="_Toc313008358"/>
      <w:r>
        <w:rPr>
          <w:rFonts w:hint="default" w:ascii="Times New Roman" w:hAnsi="Times New Roman" w:eastAsia="方正仿宋_GBK" w:cs="Times New Roman"/>
          <w:b/>
          <w:bCs w:val="0"/>
          <w:kern w:val="2"/>
          <w:sz w:val="24"/>
          <w:szCs w:val="20"/>
          <w:lang w:val="en-US" w:eastAsia="zh-CN" w:bidi="ar-SA"/>
        </w:rPr>
        <w:t>三、商务部分</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（一）服务响应偏离表</w:t>
      </w:r>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r>
        <w:rPr>
          <w:rFonts w:hint="default" w:ascii="Times New Roman" w:hAnsi="Times New Roman" w:eastAsia="方正仿宋_GBK" w:cs="Times New Roman"/>
          <w:sz w:val="24"/>
          <w:szCs w:val="24"/>
          <w:lang w:val="en-US" w:eastAsia="zh-CN"/>
        </w:rPr>
        <w:t>编</w:t>
      </w:r>
      <w:r>
        <w:rPr>
          <w:rFonts w:hint="default" w:ascii="Times New Roman" w:hAnsi="Times New Roman" w:eastAsia="方正仿宋_GBK" w:cs="Times New Roman"/>
          <w:sz w:val="24"/>
          <w:szCs w:val="24"/>
        </w:rPr>
        <w:t xml:space="preserve">号：                               </w:t>
      </w:r>
    </w:p>
    <w:p>
      <w:pPr>
        <w:pageBreakBefore w:val="0"/>
        <w:widowControl w:val="0"/>
        <w:kinsoku/>
        <w:wordWrap/>
        <w:overflowPunct/>
        <w:topLinePunct w:val="0"/>
        <w:autoSpaceDE/>
        <w:autoSpaceDN/>
        <w:bidi w:val="0"/>
        <w:spacing w:line="400" w:lineRule="exact"/>
        <w:ind w:firstLine="480" w:firstLineChars="200"/>
        <w:textAlignment w:val="auto"/>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磋商</w:t>
      </w:r>
      <w:r>
        <w:rPr>
          <w:rFonts w:hint="default" w:ascii="Times New Roman" w:hAnsi="Times New Roman" w:eastAsia="方正仿宋_GBK" w:cs="Times New Roman"/>
          <w:sz w:val="24"/>
          <w:szCs w:val="24"/>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4"/>
              </w:rPr>
            </w:pPr>
            <w:r>
              <w:rPr>
                <w:rFonts w:hint="default" w:ascii="Times New Roman" w:hAnsi="Times New Roman" w:eastAsia="方正仿宋_GBK" w:cs="Times New Roman"/>
                <w:b/>
                <w:sz w:val="21"/>
                <w:szCs w:val="24"/>
              </w:rPr>
              <w:t>序号</w:t>
            </w: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4"/>
              </w:rPr>
            </w:pPr>
            <w:r>
              <w:rPr>
                <w:rFonts w:hint="default" w:ascii="Times New Roman" w:hAnsi="Times New Roman" w:eastAsia="方正仿宋_GBK" w:cs="Times New Roman"/>
                <w:b/>
                <w:sz w:val="21"/>
                <w:szCs w:val="24"/>
              </w:rPr>
              <w:t>采购需求</w:t>
            </w: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4"/>
              </w:rPr>
            </w:pPr>
            <w:r>
              <w:rPr>
                <w:rFonts w:hint="default" w:ascii="Times New Roman" w:hAnsi="Times New Roman" w:eastAsia="方正仿宋_GBK" w:cs="Times New Roman"/>
                <w:b/>
                <w:sz w:val="21"/>
                <w:szCs w:val="24"/>
              </w:rPr>
              <w:t>响应情况</w:t>
            </w: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b/>
                <w:sz w:val="21"/>
                <w:szCs w:val="24"/>
              </w:rPr>
            </w:pPr>
            <w:r>
              <w:rPr>
                <w:rFonts w:hint="default" w:ascii="Times New Roman" w:hAnsi="Times New Roman" w:eastAsia="方正仿宋_GBK" w:cs="Times New Roman"/>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r>
              <w:rPr>
                <w:rFonts w:hint="eastAsia" w:ascii="Times New Roman" w:hAnsi="Times New Roman" w:eastAsia="方正仿宋_GBK" w:cs="Times New Roman"/>
                <w:sz w:val="21"/>
                <w:szCs w:val="21"/>
                <w:lang w:val="en-US" w:eastAsia="zh-CN"/>
              </w:rPr>
              <w:t>务必逐条响应</w:t>
            </w:r>
          </w:p>
        </w:tc>
        <w:tc>
          <w:tcPr>
            <w:tcW w:w="2438" w:type="dxa"/>
            <w:noWrap w:val="0"/>
            <w:vAlign w:val="center"/>
          </w:tcPr>
          <w:p>
            <w:pPr>
              <w:pageBreakBefore w:val="0"/>
              <w:widowControl w:val="0"/>
              <w:tabs>
                <w:tab w:val="left" w:pos="6300"/>
              </w:tabs>
              <w:kinsoku/>
              <w:wordWrap/>
              <w:overflowPunct/>
              <w:topLinePunct w:val="0"/>
              <w:autoSpaceDE/>
              <w:autoSpaceDN/>
              <w:bidi w:val="0"/>
              <w:snapToGrid w:val="0"/>
              <w:textAlignment w:val="auto"/>
              <w:outlineLvl w:val="9"/>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1"/>
              </w:rPr>
              <w:t>提醒：请注明具体内容以及响应文件中具体内容的位置（页码）</w:t>
            </w: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3184"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438"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c>
          <w:tcPr>
            <w:tcW w:w="2359" w:type="dxa"/>
            <w:noWrap w:val="0"/>
            <w:vAlign w:val="center"/>
          </w:tcPr>
          <w:p>
            <w:pPr>
              <w:pageBreakBefore w:val="0"/>
              <w:widowControl w:val="0"/>
              <w:tabs>
                <w:tab w:val="left" w:pos="6300"/>
              </w:tabs>
              <w:kinsoku/>
              <w:wordWrap/>
              <w:overflowPunct/>
              <w:topLinePunct w:val="0"/>
              <w:autoSpaceDE/>
              <w:autoSpaceDN/>
              <w:bidi w:val="0"/>
              <w:snapToGrid w:val="0"/>
              <w:jc w:val="center"/>
              <w:textAlignment w:val="auto"/>
              <w:outlineLvl w:val="9"/>
              <w:rPr>
                <w:rFonts w:hint="default" w:ascii="Times New Roman" w:hAnsi="Times New Roman" w:eastAsia="方正仿宋_GBK" w:cs="Times New Roman"/>
                <w:sz w:val="21"/>
                <w:szCs w:val="24"/>
              </w:rPr>
            </w:pPr>
          </w:p>
        </w:tc>
      </w:tr>
    </w:tbl>
    <w:p>
      <w:pPr>
        <w:pageBreakBefore w:val="0"/>
        <w:widowControl w:val="0"/>
        <w:kinsoku/>
        <w:wordWrap/>
        <w:overflowPunct/>
        <w:topLinePunct w:val="0"/>
        <w:autoSpaceDE/>
        <w:autoSpaceDN/>
        <w:bidi w:val="0"/>
        <w:spacing w:line="500" w:lineRule="exact"/>
        <w:ind w:firstLine="600" w:firstLineChars="250"/>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4"/>
        </w:rPr>
        <w:t>法定代表人（或其授权代表）或自然人</w:t>
      </w:r>
      <w:r>
        <w:rPr>
          <w:rFonts w:hint="default" w:ascii="Times New Roman" w:hAnsi="Times New Roman" w:eastAsia="方正仿宋_GBK" w:cs="Times New Roman"/>
          <w:sz w:val="24"/>
          <w:szCs w:val="28"/>
        </w:rPr>
        <w:t>：</w:t>
      </w:r>
    </w:p>
    <w:p>
      <w:pPr>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pageBreakBefore w:val="0"/>
        <w:widowControl w:val="0"/>
        <w:kinsoku/>
        <w:wordWrap/>
        <w:overflowPunct/>
        <w:topLinePunct w:val="0"/>
        <w:autoSpaceDE/>
        <w:autoSpaceDN/>
        <w:bidi w:val="0"/>
        <w:spacing w:line="500" w:lineRule="exact"/>
        <w:ind w:firstLine="360" w:firstLineChars="150"/>
        <w:textAlignment w:val="auto"/>
        <w:outlineLvl w:val="9"/>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（签署或盖章）</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pPr>
        <w:pageBreakBefore w:val="0"/>
        <w:widowControl w:val="0"/>
        <w:tabs>
          <w:tab w:val="left" w:pos="6300"/>
        </w:tabs>
        <w:kinsoku/>
        <w:wordWrap/>
        <w:overflowPunct/>
        <w:topLinePunct w:val="0"/>
        <w:autoSpaceDE/>
        <w:autoSpaceDN/>
        <w:bidi w:val="0"/>
        <w:snapToGrid w:val="0"/>
        <w:spacing w:line="400" w:lineRule="exact"/>
        <w:ind w:firstLine="480" w:firstLineChars="200"/>
        <w:textAlignment w:val="auto"/>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1.本表即为对本项目“第三篇 </w:t>
      </w:r>
      <w:r>
        <w:rPr>
          <w:rFonts w:hint="eastAsia" w:ascii="Times New Roman" w:hAnsi="Times New Roman" w:eastAsia="仿宋" w:cs="Times New Roman"/>
          <w:color w:val="auto"/>
          <w:sz w:val="24"/>
          <w:szCs w:val="24"/>
          <w:highlight w:val="none"/>
          <w:lang w:eastAsia="zh-CN"/>
        </w:rPr>
        <w:t>磋商</w:t>
      </w:r>
      <w:r>
        <w:rPr>
          <w:rFonts w:hint="default" w:ascii="Times New Roman" w:hAnsi="Times New Roman" w:eastAsia="仿宋" w:cs="Times New Roman"/>
          <w:color w:val="auto"/>
          <w:sz w:val="24"/>
          <w:szCs w:val="24"/>
          <w:highlight w:val="none"/>
          <w:lang w:eastAsia="zh-CN"/>
        </w:rPr>
        <w:t>项目商务</w:t>
      </w:r>
      <w:r>
        <w:rPr>
          <w:rFonts w:hint="default" w:ascii="Times New Roman" w:hAnsi="Times New Roman" w:eastAsia="仿宋" w:cs="Times New Roman"/>
          <w:color w:val="auto"/>
          <w:sz w:val="24"/>
          <w:szCs w:val="24"/>
          <w:highlight w:val="none"/>
        </w:rPr>
        <w:t>需求”中所列条款进行比较和响应，应逐条如实填写，“商务应答”中必须列出具体数值或内容。如供应商未应答或只注明“符合”、“满足”等类似无具体数值或内容的表述，视为不满足相应条款；</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2.该表必须按照</w:t>
      </w:r>
      <w:r>
        <w:rPr>
          <w:rFonts w:hint="eastAsia" w:ascii="Times New Roman" w:hAnsi="Times New Roman" w:eastAsia="仿宋" w:cs="Times New Roman"/>
          <w:color w:val="auto"/>
          <w:sz w:val="24"/>
          <w:szCs w:val="24"/>
          <w:highlight w:val="none"/>
          <w:lang w:eastAsia="zh-CN"/>
        </w:rPr>
        <w:t>竞争性磋商文件</w:t>
      </w:r>
      <w:r>
        <w:rPr>
          <w:rFonts w:hint="default" w:ascii="Times New Roman" w:hAnsi="Times New Roman" w:eastAsia="仿宋" w:cs="Times New Roman"/>
          <w:color w:val="auto"/>
          <w:sz w:val="24"/>
          <w:szCs w:val="24"/>
          <w:highlight w:val="none"/>
        </w:rPr>
        <w:t>要求逐条如实填写，根据响应情况在“差异说明”项填写正偏离或负偏离及原因，完全符合的填写“无差异”；</w:t>
      </w:r>
    </w:p>
    <w:p>
      <w:pPr>
        <w:pageBreakBefore w:val="0"/>
        <w:widowControl w:val="0"/>
        <w:kinsoku/>
        <w:wordWrap/>
        <w:overflowPunct/>
        <w:topLinePunct w:val="0"/>
        <w:autoSpaceDE/>
        <w:autoSpaceDN/>
        <w:bidi w:val="0"/>
        <w:ind w:firstLine="438"/>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3.该表可扩展。</w:t>
      </w:r>
    </w:p>
    <w:p>
      <w:pPr>
        <w:pStyle w:val="35"/>
        <w:pageBreakBefore w:val="0"/>
        <w:widowControl w:val="0"/>
        <w:kinsoku/>
        <w:wordWrap/>
        <w:overflowPunct/>
        <w:topLinePunct w:val="0"/>
        <w:autoSpaceDE/>
        <w:autoSpaceDN/>
        <w:bidi w:val="0"/>
        <w:textAlignment w:val="auto"/>
        <w:outlineLvl w:val="9"/>
        <w:rPr>
          <w:rFonts w:hint="default" w:ascii="Times New Roman" w:hAnsi="Times New Roman" w:cs="Times New Roman"/>
        </w:rPr>
      </w:pPr>
    </w:p>
    <w:p>
      <w:pPr>
        <w:pageBreakBefore w:val="0"/>
        <w:widowControl w:val="0"/>
        <w:tabs>
          <w:tab w:val="left" w:pos="6300"/>
        </w:tabs>
        <w:kinsoku/>
        <w:wordWrap/>
        <w:overflowPunct/>
        <w:topLinePunct w:val="0"/>
        <w:autoSpaceDE/>
        <w:autoSpaceDN/>
        <w:bidi w:val="0"/>
        <w:snapToGrid w:val="0"/>
        <w:spacing w:line="480" w:lineRule="exact"/>
        <w:ind w:firstLine="480" w:firstLineChars="200"/>
        <w:textAlignment w:val="auto"/>
        <w:outlineLvl w:val="9"/>
        <w:rPr>
          <w:rFonts w:hint="default" w:ascii="Times New Roman" w:hAnsi="Times New Roman" w:eastAsia="方正仿宋_GBK" w:cs="Times New Roman"/>
          <w:sz w:val="24"/>
          <w:szCs w:val="24"/>
        </w:rPr>
      </w:pPr>
    </w:p>
    <w:p>
      <w:pPr>
        <w:pageBreakBefore w:val="0"/>
        <w:widowControl w:val="0"/>
        <w:tabs>
          <w:tab w:val="left" w:pos="6300"/>
        </w:tabs>
        <w:kinsoku/>
        <w:wordWrap/>
        <w:overflowPunct/>
        <w:topLinePunct w:val="0"/>
        <w:autoSpaceDE/>
        <w:autoSpaceDN/>
        <w:bidi w:val="0"/>
        <w:snapToGrid w:val="0"/>
        <w:spacing w:line="480" w:lineRule="exact"/>
        <w:ind w:firstLine="480" w:firstLineChars="20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r>
        <w:rPr>
          <w:rFonts w:hint="default" w:ascii="Times New Roman" w:hAnsi="Times New Roman" w:eastAsia="方正仿宋_GBK" w:cs="Times New Roman"/>
          <w:sz w:val="24"/>
          <w:szCs w:val="24"/>
        </w:rPr>
        <w:t>（二）</w:t>
      </w:r>
      <w:r>
        <w:rPr>
          <w:rFonts w:hint="eastAsia" w:ascii="方正仿宋_GBK" w:hAnsi="仿宋" w:eastAsia="方正仿宋_GBK" w:cs="仿宋"/>
          <w:color w:val="auto"/>
          <w:kern w:val="0"/>
          <w:sz w:val="24"/>
          <w:szCs w:val="28"/>
        </w:rPr>
        <w:t>其他响应竞争性磋商文件提供的</w:t>
      </w:r>
      <w:r>
        <w:rPr>
          <w:rFonts w:hint="eastAsia" w:ascii="方正仿宋_GBK" w:hAnsi="仿宋" w:eastAsia="方正仿宋_GBK" w:cs="仿宋"/>
          <w:color w:val="auto"/>
          <w:kern w:val="0"/>
          <w:sz w:val="24"/>
          <w:szCs w:val="28"/>
          <w:lang w:val="en-US" w:eastAsia="zh-CN"/>
        </w:rPr>
        <w:t>商务</w:t>
      </w:r>
      <w:r>
        <w:rPr>
          <w:rFonts w:hint="eastAsia" w:ascii="方正仿宋_GBK" w:hAnsi="仿宋" w:eastAsia="方正仿宋_GBK" w:cs="仿宋"/>
          <w:color w:val="auto"/>
          <w:kern w:val="0"/>
          <w:sz w:val="24"/>
          <w:szCs w:val="28"/>
        </w:rPr>
        <w:t>文件</w:t>
      </w:r>
    </w:p>
    <w:p>
      <w:pPr>
        <w:pageBreakBefore w:val="0"/>
        <w:widowControl w:val="0"/>
        <w:tabs>
          <w:tab w:val="left" w:pos="6300"/>
        </w:tabs>
        <w:kinsoku/>
        <w:wordWrap/>
        <w:overflowPunct/>
        <w:topLinePunct w:val="0"/>
        <w:autoSpaceDE/>
        <w:autoSpaceDN/>
        <w:bidi w:val="0"/>
        <w:snapToGrid w:val="0"/>
        <w:spacing w:line="480" w:lineRule="exact"/>
        <w:ind w:firstLine="480" w:firstLineChars="200"/>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1"/>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68" w:name="_Toc28386"/>
      <w:bookmarkStart w:id="569" w:name="_Toc106034811"/>
      <w:bookmarkStart w:id="570" w:name="_Toc1139"/>
      <w:bookmarkStart w:id="571" w:name="_Toc22131"/>
      <w:bookmarkStart w:id="572" w:name="_Toc2914"/>
      <w:bookmarkStart w:id="573" w:name="_Toc27902"/>
      <w:bookmarkStart w:id="574" w:name="_Toc9813"/>
      <w:bookmarkStart w:id="575" w:name="_Toc20162"/>
      <w:bookmarkStart w:id="576" w:name="_Toc2082"/>
      <w:bookmarkStart w:id="577" w:name="_Toc12430"/>
      <w:bookmarkStart w:id="578" w:name="_Toc65660382"/>
      <w:bookmarkStart w:id="579" w:name="_Toc9174"/>
      <w:bookmarkStart w:id="580" w:name="_Toc2392"/>
      <w:bookmarkStart w:id="581" w:name="_Toc18706"/>
      <w:bookmarkStart w:id="582" w:name="_Toc6342"/>
      <w:bookmarkStart w:id="583" w:name="_Toc29832"/>
      <w:bookmarkStart w:id="584" w:name="_Toc9317"/>
      <w:bookmarkStart w:id="585" w:name="_Toc21793"/>
      <w:bookmarkStart w:id="586" w:name="_Toc10409"/>
      <w:r>
        <w:rPr>
          <w:rFonts w:hint="default" w:ascii="Times New Roman" w:hAnsi="Times New Roman" w:eastAsia="方正仿宋_GBK" w:cs="Times New Roman"/>
          <w:b/>
          <w:bCs w:val="0"/>
          <w:kern w:val="2"/>
          <w:sz w:val="24"/>
          <w:szCs w:val="20"/>
          <w:lang w:val="en-US" w:eastAsia="zh-CN" w:bidi="ar-SA"/>
        </w:rPr>
        <w:t>四、</w:t>
      </w:r>
      <w:bookmarkEnd w:id="565"/>
      <w:bookmarkEnd w:id="566"/>
      <w:bookmarkEnd w:id="567"/>
      <w:r>
        <w:rPr>
          <w:rFonts w:hint="default" w:ascii="Times New Roman" w:hAnsi="Times New Roman" w:eastAsia="方正仿宋_GBK" w:cs="Times New Roman"/>
          <w:b/>
          <w:bCs w:val="0"/>
          <w:kern w:val="2"/>
          <w:sz w:val="24"/>
          <w:szCs w:val="20"/>
          <w:lang w:val="en-US" w:eastAsia="zh-CN" w:bidi="ar-SA"/>
        </w:rPr>
        <w:t>资格条件及其他</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Start w:id="587" w:name="_Toc342913422"/>
      <w:bookmarkStart w:id="588" w:name="_Toc313008359"/>
      <w:bookmarkStart w:id="589" w:name="_Toc313888363"/>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56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磋商</w:t>
      </w: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56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szCs w:val="28"/>
          <w:lang w:eastAsia="zh-CN"/>
        </w:rPr>
        <w:t>磋商</w:t>
      </w: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tabs>
          <w:tab w:val="left" w:pos="6300"/>
        </w:tabs>
        <w:snapToGrid w:val="0"/>
        <w:spacing w:line="50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tabs>
          <w:tab w:val="left" w:pos="6300"/>
        </w:tabs>
        <w:snapToGrid w:val="0"/>
        <w:spacing w:line="500" w:lineRule="exact"/>
        <w:ind w:firstLine="570"/>
        <w:rPr>
          <w:rFonts w:hint="default" w:ascii="Times New Roman" w:hAnsi="Times New Roman" w:eastAsia="方正仿宋_GBK" w:cs="Times New Roman"/>
          <w:sz w:val="24"/>
          <w:szCs w:val="28"/>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tabs>
          <w:tab w:val="left" w:pos="6300"/>
        </w:tabs>
        <w:snapToGrid w:val="0"/>
        <w:spacing w:line="50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1.若为法定代表人办理并签署响应文件的，不提供此文件。</w:t>
      </w:r>
    </w:p>
    <w:p>
      <w:pPr>
        <w:widowControl/>
        <w:spacing w:line="400" w:lineRule="exact"/>
        <w:ind w:firstLine="56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tabs>
          <w:tab w:val="left" w:pos="6300"/>
        </w:tabs>
        <w:snapToGrid w:val="0"/>
        <w:spacing w:line="500" w:lineRule="exact"/>
        <w:ind w:firstLine="480" w:firstLineChars="200"/>
        <w:rPr>
          <w:rFonts w:hint="default" w:ascii="Times New Roman" w:hAnsi="Times New Roman" w:eastAsia="方正仿宋_GBK" w:cs="Times New Roman"/>
          <w:sz w:val="24"/>
        </w:rPr>
      </w:pPr>
    </w:p>
    <w:p>
      <w:pPr>
        <w:tabs>
          <w:tab w:val="left" w:pos="6300"/>
        </w:tabs>
        <w:snapToGrid w:val="0"/>
        <w:spacing w:line="50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widowControl/>
        <w:spacing w:line="400" w:lineRule="exact"/>
        <w:ind w:firstLine="7920" w:firstLineChars="33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22"/>
        </w:numPr>
        <w:spacing w:line="400" w:lineRule="exact"/>
        <w:ind w:firstLine="56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特定资格条件证书或证明文件</w:t>
      </w: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widowControl/>
        <w:adjustRightInd/>
        <w:snapToGrid/>
        <w:spacing w:before="0" w:after="0" w:line="400" w:lineRule="exact"/>
        <w:ind w:firstLine="0" w:firstLineChars="0"/>
        <w:jc w:val="left"/>
        <w:outlineLvl w:val="9"/>
        <w:rPr>
          <w:rFonts w:hint="default" w:ascii="Times New Roman" w:hAnsi="Times New Roman" w:eastAsia="宋体" w:cs="Times New Roman"/>
          <w:sz w:val="28"/>
          <w:szCs w:val="20"/>
          <w:lang w:val="en-US" w:eastAsia="zh-CN"/>
        </w:rPr>
      </w:pPr>
    </w:p>
    <w:p>
      <w:pPr>
        <w:keepNext w:val="0"/>
        <w:keepLines w:val="0"/>
        <w:pageBreakBefore w:val="0"/>
        <w:widowControl/>
        <w:kinsoku/>
        <w:wordWrap/>
        <w:overflowPunct/>
        <w:topLinePunct w:val="0"/>
        <w:autoSpaceDE/>
        <w:autoSpaceDN/>
        <w:bidi w:val="0"/>
        <w:adjustRightInd/>
        <w:snapToGrid/>
        <w:spacing w:before="0" w:after="0" w:line="400" w:lineRule="exact"/>
        <w:ind w:firstLine="482" w:firstLineChars="200"/>
        <w:jc w:val="left"/>
        <w:textAlignment w:val="auto"/>
        <w:outlineLvl w:val="1"/>
        <w:rPr>
          <w:rFonts w:hint="default" w:ascii="Times New Roman" w:hAnsi="Times New Roman" w:eastAsia="方正仿宋_GBK" w:cs="Times New Roman"/>
          <w:b/>
          <w:kern w:val="2"/>
          <w:sz w:val="24"/>
          <w:lang w:val="en-US" w:eastAsia="zh-CN" w:bidi="ar-SA"/>
        </w:rPr>
      </w:pPr>
      <w:bookmarkStart w:id="590" w:name="_Toc8653"/>
      <w:r>
        <w:rPr>
          <w:rFonts w:hint="default" w:ascii="Times New Roman" w:hAnsi="Times New Roman" w:eastAsia="方正仿宋_GBK" w:cs="Times New Roman"/>
          <w:b/>
          <w:kern w:val="2"/>
          <w:sz w:val="24"/>
          <w:lang w:val="en-US" w:eastAsia="zh-CN" w:bidi="ar-SA"/>
        </w:rPr>
        <w:t>五、其他资料</w:t>
      </w:r>
      <w:bookmarkEnd w:id="590"/>
    </w:p>
    <w:p>
      <w:pPr>
        <w:widowControl/>
        <w:spacing w:before="0" w:after="0" w:line="240" w:lineRule="auto"/>
        <w:ind w:firstLine="0" w:firstLine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bookmarkEnd w:id="587"/>
    <w:bookmarkEnd w:id="588"/>
    <w:bookmarkEnd w:id="589"/>
    <w:p>
      <w:pPr>
        <w:spacing w:before="190" w:after="190" w:afterLines="50"/>
        <w:rPr>
          <w:rFonts w:hint="default" w:ascii="Times New Roman" w:hAnsi="Times New Roman" w:eastAsia="宋体" w:cs="Times New Roman"/>
          <w:sz w:val="28"/>
          <w:szCs w:val="20"/>
        </w:rPr>
      </w:pPr>
      <w:bookmarkStart w:id="591" w:name="_Toc63600449"/>
      <w:bookmarkStart w:id="592" w:name="_Toc29533"/>
      <w:bookmarkStart w:id="593" w:name="_Hlk63599965"/>
      <w:bookmarkStart w:id="594" w:name="_Toc32713"/>
      <w:bookmarkStart w:id="595" w:name="_Toc22082"/>
      <w:bookmarkStart w:id="596" w:name="_Toc29904"/>
      <w:bookmarkStart w:id="597" w:name="_Toc24243"/>
      <w:bookmarkStart w:id="598" w:name="_Toc18983"/>
      <w:bookmarkStart w:id="599" w:name="_Toc24783"/>
      <w:bookmarkStart w:id="600" w:name="_Toc24410"/>
      <w:bookmarkStart w:id="601" w:name="_Toc12112"/>
      <w:bookmarkStart w:id="602" w:name="_Toc15027"/>
      <w:bookmarkStart w:id="603" w:name="_Toc28584"/>
      <w:bookmarkStart w:id="604" w:name="_Toc29726"/>
      <w:bookmarkStart w:id="605" w:name="_Toc4796"/>
      <w:bookmarkStart w:id="606" w:name="_Toc17674"/>
      <w:bookmarkStart w:id="607" w:name="_Toc20390"/>
      <w:bookmarkStart w:id="608" w:name="_Toc11496"/>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spacing w:before="190" w:after="190" w:afterLines="50"/>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p>
      <w:pPr>
        <w:pStyle w:val="35"/>
        <w:rPr>
          <w:rFonts w:hint="default" w:ascii="Times New Roman" w:hAnsi="Times New Roman" w:eastAsia="宋体" w:cs="Times New Roman"/>
          <w:sz w:val="28"/>
          <w:szCs w:val="20"/>
        </w:rPr>
      </w:pP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Pr>
        <w:widowControl/>
        <w:rPr>
          <w:rFonts w:hint="eastAsia" w:ascii="方正仿宋_GBK" w:hAnsi="方正仿宋_GBK" w:eastAsia="方正仿宋_GBK" w:cs="方正仿宋_GBK"/>
          <w:b/>
          <w:bCs/>
          <w:color w:val="auto"/>
          <w:sz w:val="20"/>
          <w:szCs w:val="20"/>
          <w:lang w:val="en-US" w:eastAsia="zh-CN"/>
        </w:rPr>
      </w:pPr>
    </w:p>
    <w:p>
      <w:pPr>
        <w:spacing w:line="360" w:lineRule="auto"/>
        <w:ind w:firstLine="0" w:firstLineChars="0"/>
        <w:jc w:val="center"/>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结束</w:t>
      </w:r>
      <w:r>
        <w:rPr>
          <w:rFonts w:hint="eastAsia" w:ascii="Times New Roman" w:hAnsi="Times New Roman" w:eastAsia="方正仿宋_GBK" w:cs="Times New Roman"/>
          <w:sz w:val="24"/>
          <w:szCs w:val="24"/>
          <w:lang w:eastAsia="zh-CN"/>
        </w:rPr>
        <w:t>）</w:t>
      </w:r>
    </w:p>
    <w:sectPr>
      <w:pgSz w:w="11907" w:h="16840"/>
      <w:pgMar w:top="1134" w:right="1191" w:bottom="1134" w:left="1304" w:header="964" w:footer="992" w:gutter="0"/>
      <w:paperSrc/>
      <w:pgNumType w:fmt="numberInDash"/>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3"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1" w:usb1="080E0000" w:usb2="00000010" w:usb3="00000000" w:csb0="00040000"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- 17 -</w:t>
                          </w:r>
                          <w:r>
                            <w:rPr>
                              <w:rFonts w:asci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6"/>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- 17 -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- 35 -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- 35 -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lang w:eastAsia="zh-CN"/>
      </w:rPr>
    </w:pPr>
    <w:r>
      <w:rPr>
        <w:rFonts w:hint="eastAsia" w:ascii="方正仿宋_GBK" w:eastAsia="方正仿宋_GBK"/>
        <w:sz w:val="21"/>
        <w:szCs w:val="21"/>
        <w:lang w:eastAsia="zh-CN"/>
      </w:rPr>
      <w:t>重庆市第七人民医院</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DD1A"/>
    <w:multiLevelType w:val="singleLevel"/>
    <w:tmpl w:val="A5BBDD1A"/>
    <w:lvl w:ilvl="0" w:tentative="0">
      <w:start w:val="5"/>
      <w:numFmt w:val="chineseCounting"/>
      <w:suff w:val="nothing"/>
      <w:lvlText w:val="（%1）"/>
      <w:lvlJc w:val="left"/>
      <w:rPr>
        <w:rFonts w:hint="eastAsia"/>
      </w:rPr>
    </w:lvl>
  </w:abstractNum>
  <w:abstractNum w:abstractNumId="1">
    <w:nsid w:val="B711E5B1"/>
    <w:multiLevelType w:val="singleLevel"/>
    <w:tmpl w:val="B711E5B1"/>
    <w:lvl w:ilvl="0" w:tentative="0">
      <w:start w:val="2"/>
      <w:numFmt w:val="chineseCounting"/>
      <w:suff w:val="space"/>
      <w:lvlText w:val="第%1篇"/>
      <w:lvlJc w:val="left"/>
      <w:rPr>
        <w:rFonts w:hint="eastAsia"/>
      </w:rPr>
    </w:lvl>
  </w:abstractNum>
  <w:abstractNum w:abstractNumId="2">
    <w:nsid w:val="E8B7C30B"/>
    <w:multiLevelType w:val="singleLevel"/>
    <w:tmpl w:val="E8B7C30B"/>
    <w:lvl w:ilvl="0" w:tentative="0">
      <w:start w:val="1"/>
      <w:numFmt w:val="decimal"/>
      <w:suff w:val="nothing"/>
      <w:lvlText w:val="%1．"/>
      <w:lvlJc w:val="left"/>
      <w:pPr>
        <w:ind w:left="0" w:firstLine="400"/>
      </w:pPr>
      <w:rPr>
        <w:rFonts w:hint="default"/>
      </w:rPr>
    </w:lvl>
  </w:abstractNum>
  <w:abstractNum w:abstractNumId="3">
    <w:nsid w:val="EDF6B858"/>
    <w:multiLevelType w:val="singleLevel"/>
    <w:tmpl w:val="EDF6B858"/>
    <w:lvl w:ilvl="0" w:tentative="0">
      <w:start w:val="1"/>
      <w:numFmt w:val="chineseCounting"/>
      <w:suff w:val="nothing"/>
      <w:lvlText w:val="%1、"/>
      <w:lvlJc w:val="left"/>
      <w:rPr>
        <w:rFonts w:hint="eastAsia"/>
      </w:rPr>
    </w:lvl>
  </w:abstractNum>
  <w:abstractNum w:abstractNumId="4">
    <w:nsid w:val="F130D621"/>
    <w:multiLevelType w:val="singleLevel"/>
    <w:tmpl w:val="F130D621"/>
    <w:lvl w:ilvl="0" w:tentative="0">
      <w:start w:val="2"/>
      <w:numFmt w:val="decimal"/>
      <w:lvlText w:val="%1."/>
      <w:lvlJc w:val="left"/>
      <w:pPr>
        <w:tabs>
          <w:tab w:val="left" w:pos="312"/>
        </w:tabs>
      </w:pPr>
    </w:lvl>
  </w:abstractNum>
  <w:abstractNum w:abstractNumId="5">
    <w:nsid w:val="F75000E2"/>
    <w:multiLevelType w:val="singleLevel"/>
    <w:tmpl w:val="F75000E2"/>
    <w:lvl w:ilvl="0" w:tentative="0">
      <w:start w:val="2"/>
      <w:numFmt w:val="chineseCounting"/>
      <w:suff w:val="nothing"/>
      <w:lvlText w:val="%1、"/>
      <w:lvlJc w:val="left"/>
      <w:rPr>
        <w:rFonts w:hint="eastAsia"/>
      </w:rPr>
    </w:lvl>
  </w:abstractNum>
  <w:abstractNum w:abstractNumId="6">
    <w:nsid w:val="FA75FB03"/>
    <w:multiLevelType w:val="singleLevel"/>
    <w:tmpl w:val="FA75FB03"/>
    <w:lvl w:ilvl="0" w:tentative="0">
      <w:start w:val="1"/>
      <w:numFmt w:val="decimal"/>
      <w:lvlText w:val="%1."/>
      <w:lvlJc w:val="left"/>
      <w:pPr>
        <w:tabs>
          <w:tab w:val="left" w:pos="312"/>
        </w:tabs>
      </w:pPr>
      <w:rPr>
        <w:rFonts w:hint="default"/>
        <w:b w:val="0"/>
        <w:bCs w:val="0"/>
      </w:rPr>
    </w:lvl>
  </w:abstractNum>
  <w:abstractNum w:abstractNumId="7">
    <w:nsid w:val="00000009"/>
    <w:multiLevelType w:val="multilevel"/>
    <w:tmpl w:val="00000009"/>
    <w:lvl w:ilvl="0" w:tentative="0">
      <w:start w:val="1"/>
      <w:numFmt w:val="upperLetter"/>
      <w:pStyle w:val="1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A"/>
    <w:multiLevelType w:val="multilevel"/>
    <w:tmpl w:val="0000000A"/>
    <w:lvl w:ilvl="0" w:tentative="0">
      <w:start w:val="1"/>
      <w:numFmt w:val="bullet"/>
      <w:pStyle w:val="21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B"/>
    <w:multiLevelType w:val="singleLevel"/>
    <w:tmpl w:val="0000000B"/>
    <w:lvl w:ilvl="0" w:tentative="0">
      <w:start w:val="1"/>
      <w:numFmt w:val="bullet"/>
      <w:pStyle w:val="145"/>
      <w:lvlText w:val=""/>
      <w:lvlJc w:val="left"/>
      <w:pPr>
        <w:tabs>
          <w:tab w:val="left" w:pos="360"/>
        </w:tabs>
        <w:ind w:left="360" w:hanging="360"/>
      </w:pPr>
      <w:rPr>
        <w:rFonts w:hint="default" w:ascii="Wingdings" w:hAnsi="Wingdings"/>
      </w:rPr>
    </w:lvl>
  </w:abstractNum>
  <w:abstractNum w:abstractNumId="10">
    <w:nsid w:val="0000000D"/>
    <w:multiLevelType w:val="multilevel"/>
    <w:tmpl w:val="0000000D"/>
    <w:lvl w:ilvl="0" w:tentative="0">
      <w:start w:val="1"/>
      <w:numFmt w:val="bullet"/>
      <w:pStyle w:val="22"/>
      <w:lvlText w:val=""/>
      <w:lvlJc w:val="left"/>
      <w:pPr>
        <w:tabs>
          <w:tab w:val="left" w:pos="1200"/>
        </w:tabs>
        <w:ind w:left="120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2">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3">
    <w:nsid w:val="00000011"/>
    <w:multiLevelType w:val="multilevel"/>
    <w:tmpl w:val="00000011"/>
    <w:lvl w:ilvl="0" w:tentative="0">
      <w:start w:val="1"/>
      <w:numFmt w:val="decimal"/>
      <w:pStyle w:val="18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6">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7">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8">
    <w:nsid w:val="00000017"/>
    <w:multiLevelType w:val="multilevel"/>
    <w:tmpl w:val="00000017"/>
    <w:lvl w:ilvl="0" w:tentative="0">
      <w:start w:val="1"/>
      <w:numFmt w:val="chineseCountingThousand"/>
      <w:pStyle w:val="18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23B73BC"/>
    <w:multiLevelType w:val="singleLevel"/>
    <w:tmpl w:val="223B73BC"/>
    <w:lvl w:ilvl="0" w:tentative="0">
      <w:start w:val="2"/>
      <w:numFmt w:val="decimal"/>
      <w:lvlText w:val="%1."/>
      <w:lvlJc w:val="left"/>
      <w:pPr>
        <w:tabs>
          <w:tab w:val="left" w:pos="312"/>
        </w:tabs>
      </w:pPr>
    </w:lvl>
  </w:abstractNum>
  <w:abstractNum w:abstractNumId="20">
    <w:nsid w:val="43E355F3"/>
    <w:multiLevelType w:val="singleLevel"/>
    <w:tmpl w:val="43E355F3"/>
    <w:lvl w:ilvl="0" w:tentative="0">
      <w:start w:val="1"/>
      <w:numFmt w:val="decimal"/>
      <w:suff w:val="nothing"/>
      <w:lvlText w:val="%1．"/>
      <w:lvlJc w:val="left"/>
      <w:pPr>
        <w:ind w:left="0" w:firstLine="400"/>
      </w:pPr>
      <w:rPr>
        <w:rFonts w:hint="default"/>
      </w:rPr>
    </w:lvl>
  </w:abstractNum>
  <w:abstractNum w:abstractNumId="21">
    <w:nsid w:val="77EED6EB"/>
    <w:multiLevelType w:val="singleLevel"/>
    <w:tmpl w:val="77EED6EB"/>
    <w:lvl w:ilvl="0" w:tentative="0">
      <w:start w:val="7"/>
      <w:numFmt w:val="chineseCounting"/>
      <w:suff w:val="space"/>
      <w:lvlText w:val="第%1篇"/>
      <w:lvlJc w:val="left"/>
      <w:rPr>
        <w:rFonts w:hint="eastAsia"/>
      </w:rPr>
    </w:lvl>
  </w:abstractNum>
  <w:num w:numId="1">
    <w:abstractNumId w:val="15"/>
  </w:num>
  <w:num w:numId="2">
    <w:abstractNumId w:val="12"/>
  </w:num>
  <w:num w:numId="3">
    <w:abstractNumId w:val="10"/>
  </w:num>
  <w:num w:numId="4">
    <w:abstractNumId w:val="16"/>
  </w:num>
  <w:num w:numId="5">
    <w:abstractNumId w:val="9"/>
  </w:num>
  <w:num w:numId="6">
    <w:abstractNumId w:val="11"/>
  </w:num>
  <w:num w:numId="7">
    <w:abstractNumId w:val="7"/>
  </w:num>
  <w:num w:numId="8">
    <w:abstractNumId w:val="18"/>
  </w:num>
  <w:num w:numId="9">
    <w:abstractNumId w:val="13"/>
  </w:num>
  <w:num w:numId="10">
    <w:abstractNumId w:val="8"/>
  </w:num>
  <w:num w:numId="11">
    <w:abstractNumId w:val="14"/>
  </w:num>
  <w:num w:numId="12">
    <w:abstractNumId w:val="17"/>
  </w:num>
  <w:num w:numId="13">
    <w:abstractNumId w:val="1"/>
  </w:num>
  <w:num w:numId="14">
    <w:abstractNumId w:val="20"/>
  </w:num>
  <w:num w:numId="15">
    <w:abstractNumId w:val="2"/>
  </w:num>
  <w:num w:numId="16">
    <w:abstractNumId w:val="19"/>
  </w:num>
  <w:num w:numId="17">
    <w:abstractNumId w:val="6"/>
  </w:num>
  <w:num w:numId="18">
    <w:abstractNumId w:val="4"/>
  </w:num>
  <w:num w:numId="19">
    <w:abstractNumId w:val="5"/>
  </w:num>
  <w:num w:numId="20">
    <w:abstractNumId w:val="2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8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cyOTczNzZlNjM2NDlmNDEzNWIxZGMyNTU1YTA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595"/>
    <w:rsid w:val="00043C9B"/>
    <w:rsid w:val="000446C0"/>
    <w:rsid w:val="000513D1"/>
    <w:rsid w:val="0005298B"/>
    <w:rsid w:val="00052A3A"/>
    <w:rsid w:val="00053A69"/>
    <w:rsid w:val="00053CC2"/>
    <w:rsid w:val="00054308"/>
    <w:rsid w:val="0005456D"/>
    <w:rsid w:val="000549FF"/>
    <w:rsid w:val="000576E1"/>
    <w:rsid w:val="0006111D"/>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53ACA"/>
    <w:rsid w:val="00263F49"/>
    <w:rsid w:val="002643C1"/>
    <w:rsid w:val="00264E69"/>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40E5"/>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AA1"/>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4F29"/>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0D3B"/>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51C3"/>
    <w:rsid w:val="006E6952"/>
    <w:rsid w:val="006F03F0"/>
    <w:rsid w:val="006F0DEB"/>
    <w:rsid w:val="006F0FB7"/>
    <w:rsid w:val="006F15D4"/>
    <w:rsid w:val="006F20CD"/>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1684A"/>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179"/>
    <w:rsid w:val="0090383C"/>
    <w:rsid w:val="00904E19"/>
    <w:rsid w:val="00905382"/>
    <w:rsid w:val="00905D25"/>
    <w:rsid w:val="00907FFD"/>
    <w:rsid w:val="00910BFB"/>
    <w:rsid w:val="00911ACF"/>
    <w:rsid w:val="00911AE9"/>
    <w:rsid w:val="00912132"/>
    <w:rsid w:val="00912A05"/>
    <w:rsid w:val="00916001"/>
    <w:rsid w:val="009160E6"/>
    <w:rsid w:val="00922FAD"/>
    <w:rsid w:val="00924F0A"/>
    <w:rsid w:val="0092708B"/>
    <w:rsid w:val="009313BB"/>
    <w:rsid w:val="0093578C"/>
    <w:rsid w:val="00937713"/>
    <w:rsid w:val="00943FB2"/>
    <w:rsid w:val="00945403"/>
    <w:rsid w:val="009519E2"/>
    <w:rsid w:val="00954464"/>
    <w:rsid w:val="00957601"/>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B6F8C"/>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2AAA"/>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50B"/>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0ABA"/>
    <w:rsid w:val="00B823F6"/>
    <w:rsid w:val="00B83831"/>
    <w:rsid w:val="00B90CED"/>
    <w:rsid w:val="00B93463"/>
    <w:rsid w:val="00B94CCB"/>
    <w:rsid w:val="00BA26B3"/>
    <w:rsid w:val="00BA3FBE"/>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74A"/>
    <w:rsid w:val="00C1090C"/>
    <w:rsid w:val="00C171CC"/>
    <w:rsid w:val="00C23C73"/>
    <w:rsid w:val="00C240C8"/>
    <w:rsid w:val="00C26513"/>
    <w:rsid w:val="00C37F72"/>
    <w:rsid w:val="00C420C1"/>
    <w:rsid w:val="00C4525F"/>
    <w:rsid w:val="00C45963"/>
    <w:rsid w:val="00C472B8"/>
    <w:rsid w:val="00C477E6"/>
    <w:rsid w:val="00C50D54"/>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C775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05100"/>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3AE8"/>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21E0"/>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127"/>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A5041"/>
    <w:rsid w:val="011E3CE2"/>
    <w:rsid w:val="01245BEB"/>
    <w:rsid w:val="0131747F"/>
    <w:rsid w:val="01320784"/>
    <w:rsid w:val="013A3612"/>
    <w:rsid w:val="01642258"/>
    <w:rsid w:val="016966E0"/>
    <w:rsid w:val="01806305"/>
    <w:rsid w:val="01921AA3"/>
    <w:rsid w:val="01A916C8"/>
    <w:rsid w:val="01B31FD7"/>
    <w:rsid w:val="01BA73E4"/>
    <w:rsid w:val="01C14B70"/>
    <w:rsid w:val="01D92217"/>
    <w:rsid w:val="01E427A6"/>
    <w:rsid w:val="01EA46B0"/>
    <w:rsid w:val="01EB7BB3"/>
    <w:rsid w:val="01F53D45"/>
    <w:rsid w:val="021D39F8"/>
    <w:rsid w:val="022B099C"/>
    <w:rsid w:val="022D7245"/>
    <w:rsid w:val="0233162C"/>
    <w:rsid w:val="024263C3"/>
    <w:rsid w:val="024824CB"/>
    <w:rsid w:val="024937CF"/>
    <w:rsid w:val="02855BB3"/>
    <w:rsid w:val="028F06C1"/>
    <w:rsid w:val="0290621F"/>
    <w:rsid w:val="029A22D5"/>
    <w:rsid w:val="02A815EB"/>
    <w:rsid w:val="02BF5E56"/>
    <w:rsid w:val="02C37C16"/>
    <w:rsid w:val="02C50B9B"/>
    <w:rsid w:val="02C62D99"/>
    <w:rsid w:val="02CE3596"/>
    <w:rsid w:val="02EF3F5D"/>
    <w:rsid w:val="02FA5B72"/>
    <w:rsid w:val="02FC7879"/>
    <w:rsid w:val="03001C79"/>
    <w:rsid w:val="030D6D91"/>
    <w:rsid w:val="03101F14"/>
    <w:rsid w:val="03194DA1"/>
    <w:rsid w:val="032469B6"/>
    <w:rsid w:val="032A08BF"/>
    <w:rsid w:val="032C5FC0"/>
    <w:rsid w:val="03376ACB"/>
    <w:rsid w:val="034E307D"/>
    <w:rsid w:val="035241C7"/>
    <w:rsid w:val="03563CB7"/>
    <w:rsid w:val="0362649B"/>
    <w:rsid w:val="0364199E"/>
    <w:rsid w:val="03750DFA"/>
    <w:rsid w:val="037C0098"/>
    <w:rsid w:val="037F1AAB"/>
    <w:rsid w:val="03867954"/>
    <w:rsid w:val="038F6065"/>
    <w:rsid w:val="03963471"/>
    <w:rsid w:val="039D2DFC"/>
    <w:rsid w:val="03AB2112"/>
    <w:rsid w:val="03AE46C8"/>
    <w:rsid w:val="03C142B6"/>
    <w:rsid w:val="03CB5498"/>
    <w:rsid w:val="03CD394B"/>
    <w:rsid w:val="03E02A63"/>
    <w:rsid w:val="03EB50FA"/>
    <w:rsid w:val="03F7698E"/>
    <w:rsid w:val="04117A68"/>
    <w:rsid w:val="04236F80"/>
    <w:rsid w:val="043A06FC"/>
    <w:rsid w:val="043C3BFF"/>
    <w:rsid w:val="044B572D"/>
    <w:rsid w:val="04506123"/>
    <w:rsid w:val="04521626"/>
    <w:rsid w:val="0480254A"/>
    <w:rsid w:val="0491498E"/>
    <w:rsid w:val="04986517"/>
    <w:rsid w:val="04B17441"/>
    <w:rsid w:val="04B7134B"/>
    <w:rsid w:val="04C23AE5"/>
    <w:rsid w:val="04D253F8"/>
    <w:rsid w:val="04D32E79"/>
    <w:rsid w:val="04D46D43"/>
    <w:rsid w:val="04E0470D"/>
    <w:rsid w:val="04E836A4"/>
    <w:rsid w:val="04F50E2F"/>
    <w:rsid w:val="04F81DB4"/>
    <w:rsid w:val="04FF4FC2"/>
    <w:rsid w:val="050F525C"/>
    <w:rsid w:val="05114EDC"/>
    <w:rsid w:val="051800EA"/>
    <w:rsid w:val="051E0C0A"/>
    <w:rsid w:val="0524197F"/>
    <w:rsid w:val="05272903"/>
    <w:rsid w:val="05351C19"/>
    <w:rsid w:val="054134AD"/>
    <w:rsid w:val="05444432"/>
    <w:rsid w:val="054753B6"/>
    <w:rsid w:val="05573452"/>
    <w:rsid w:val="055830D2"/>
    <w:rsid w:val="05592A48"/>
    <w:rsid w:val="055F57B4"/>
    <w:rsid w:val="056D55F6"/>
    <w:rsid w:val="05700779"/>
    <w:rsid w:val="05755481"/>
    <w:rsid w:val="05794363"/>
    <w:rsid w:val="05921FB2"/>
    <w:rsid w:val="0592672F"/>
    <w:rsid w:val="059613B6"/>
    <w:rsid w:val="059A3B3C"/>
    <w:rsid w:val="05B31180"/>
    <w:rsid w:val="05BB3177"/>
    <w:rsid w:val="05BC1F32"/>
    <w:rsid w:val="05BC65A1"/>
    <w:rsid w:val="05C24D00"/>
    <w:rsid w:val="05CD18FC"/>
    <w:rsid w:val="05D32A1C"/>
    <w:rsid w:val="05D716A0"/>
    <w:rsid w:val="05D8772A"/>
    <w:rsid w:val="05DB36AB"/>
    <w:rsid w:val="05DD6BAF"/>
    <w:rsid w:val="05DE0DAD"/>
    <w:rsid w:val="05E23036"/>
    <w:rsid w:val="05F77758"/>
    <w:rsid w:val="05FD1662"/>
    <w:rsid w:val="06050CAF"/>
    <w:rsid w:val="06071F71"/>
    <w:rsid w:val="063240BA"/>
    <w:rsid w:val="06331B3C"/>
    <w:rsid w:val="06361B35"/>
    <w:rsid w:val="06385FC4"/>
    <w:rsid w:val="06413050"/>
    <w:rsid w:val="064676E0"/>
    <w:rsid w:val="064A5EDE"/>
    <w:rsid w:val="06542070"/>
    <w:rsid w:val="0666580E"/>
    <w:rsid w:val="06744B24"/>
    <w:rsid w:val="068473D7"/>
    <w:rsid w:val="068A254B"/>
    <w:rsid w:val="068D34CF"/>
    <w:rsid w:val="068E0F51"/>
    <w:rsid w:val="06933D53"/>
    <w:rsid w:val="06A35680"/>
    <w:rsid w:val="06B50E10"/>
    <w:rsid w:val="06B6300F"/>
    <w:rsid w:val="06DF1C54"/>
    <w:rsid w:val="06F05772"/>
    <w:rsid w:val="06F84D7D"/>
    <w:rsid w:val="06F90600"/>
    <w:rsid w:val="0727626D"/>
    <w:rsid w:val="07292EE8"/>
    <w:rsid w:val="075B4E21"/>
    <w:rsid w:val="07736C45"/>
    <w:rsid w:val="07767BC9"/>
    <w:rsid w:val="077D2DD8"/>
    <w:rsid w:val="077E62DB"/>
    <w:rsid w:val="07835E66"/>
    <w:rsid w:val="07844961"/>
    <w:rsid w:val="07937AA3"/>
    <w:rsid w:val="07A8169D"/>
    <w:rsid w:val="07A904D1"/>
    <w:rsid w:val="07AE35A7"/>
    <w:rsid w:val="07AE385E"/>
    <w:rsid w:val="07B73EB6"/>
    <w:rsid w:val="07C37CC9"/>
    <w:rsid w:val="07D41594"/>
    <w:rsid w:val="07DB0BF3"/>
    <w:rsid w:val="07F2642A"/>
    <w:rsid w:val="07F711A8"/>
    <w:rsid w:val="082B1C77"/>
    <w:rsid w:val="08303A92"/>
    <w:rsid w:val="08360008"/>
    <w:rsid w:val="083A448F"/>
    <w:rsid w:val="08564CB9"/>
    <w:rsid w:val="085E5949"/>
    <w:rsid w:val="086A2709"/>
    <w:rsid w:val="086A71DD"/>
    <w:rsid w:val="086B4C5E"/>
    <w:rsid w:val="08870D0B"/>
    <w:rsid w:val="089538A4"/>
    <w:rsid w:val="089944A9"/>
    <w:rsid w:val="089A53A0"/>
    <w:rsid w:val="08A13C26"/>
    <w:rsid w:val="08AB21C5"/>
    <w:rsid w:val="08AC7C46"/>
    <w:rsid w:val="08AE3149"/>
    <w:rsid w:val="08B50556"/>
    <w:rsid w:val="08B72D2E"/>
    <w:rsid w:val="08BC4551"/>
    <w:rsid w:val="08C3786B"/>
    <w:rsid w:val="08C41635"/>
    <w:rsid w:val="08C52A1E"/>
    <w:rsid w:val="08D00067"/>
    <w:rsid w:val="08EC42B3"/>
    <w:rsid w:val="08F74842"/>
    <w:rsid w:val="08FD674C"/>
    <w:rsid w:val="0904195A"/>
    <w:rsid w:val="09230B8A"/>
    <w:rsid w:val="09257910"/>
    <w:rsid w:val="092B3B9D"/>
    <w:rsid w:val="09336C26"/>
    <w:rsid w:val="0942143F"/>
    <w:rsid w:val="09643D28"/>
    <w:rsid w:val="096A21D2"/>
    <w:rsid w:val="096E3588"/>
    <w:rsid w:val="097B701A"/>
    <w:rsid w:val="09891BB3"/>
    <w:rsid w:val="09895AEA"/>
    <w:rsid w:val="09A36491"/>
    <w:rsid w:val="09B20818"/>
    <w:rsid w:val="09B6397C"/>
    <w:rsid w:val="09BB7558"/>
    <w:rsid w:val="09BB7E03"/>
    <w:rsid w:val="09CA261C"/>
    <w:rsid w:val="09DF2ECE"/>
    <w:rsid w:val="09E50C48"/>
    <w:rsid w:val="09EE7359"/>
    <w:rsid w:val="09F124DC"/>
    <w:rsid w:val="09F158E7"/>
    <w:rsid w:val="09FA536A"/>
    <w:rsid w:val="09FE75F3"/>
    <w:rsid w:val="0A247833"/>
    <w:rsid w:val="0A262D36"/>
    <w:rsid w:val="0A2A3678"/>
    <w:rsid w:val="0A4D56E8"/>
    <w:rsid w:val="0A4D7372"/>
    <w:rsid w:val="0A603E15"/>
    <w:rsid w:val="0A765FB8"/>
    <w:rsid w:val="0A7A6C42"/>
    <w:rsid w:val="0A7F0E46"/>
    <w:rsid w:val="0A84735B"/>
    <w:rsid w:val="0A9B0776"/>
    <w:rsid w:val="0AA2487E"/>
    <w:rsid w:val="0AA44133"/>
    <w:rsid w:val="0AA84209"/>
    <w:rsid w:val="0AB35E1D"/>
    <w:rsid w:val="0AC30636"/>
    <w:rsid w:val="0AD84D58"/>
    <w:rsid w:val="0ADC375E"/>
    <w:rsid w:val="0AF70E35"/>
    <w:rsid w:val="0B156DBB"/>
    <w:rsid w:val="0B161F7E"/>
    <w:rsid w:val="0B254E57"/>
    <w:rsid w:val="0B290547"/>
    <w:rsid w:val="0B29385D"/>
    <w:rsid w:val="0B295A5C"/>
    <w:rsid w:val="0B506FA0"/>
    <w:rsid w:val="0B580B29"/>
    <w:rsid w:val="0B5C7530"/>
    <w:rsid w:val="0B5E2A33"/>
    <w:rsid w:val="0B752658"/>
    <w:rsid w:val="0B7A0B14"/>
    <w:rsid w:val="0B7F426C"/>
    <w:rsid w:val="0B871679"/>
    <w:rsid w:val="0B8C5B00"/>
    <w:rsid w:val="0BA354C3"/>
    <w:rsid w:val="0BA7412C"/>
    <w:rsid w:val="0BB50EC3"/>
    <w:rsid w:val="0BBB664F"/>
    <w:rsid w:val="0BBC084E"/>
    <w:rsid w:val="0BC74660"/>
    <w:rsid w:val="0BCB0E68"/>
    <w:rsid w:val="0BD45D4F"/>
    <w:rsid w:val="0BE95E9A"/>
    <w:rsid w:val="0BE96331"/>
    <w:rsid w:val="0BFF25BC"/>
    <w:rsid w:val="0C005ABF"/>
    <w:rsid w:val="0C0D7353"/>
    <w:rsid w:val="0C110909"/>
    <w:rsid w:val="0C2E7888"/>
    <w:rsid w:val="0C3A499F"/>
    <w:rsid w:val="0C545549"/>
    <w:rsid w:val="0C5B25F6"/>
    <w:rsid w:val="0C697B1C"/>
    <w:rsid w:val="0C701CB9"/>
    <w:rsid w:val="0C86159B"/>
    <w:rsid w:val="0C9A243A"/>
    <w:rsid w:val="0C9E6C42"/>
    <w:rsid w:val="0CAF10DB"/>
    <w:rsid w:val="0CB33364"/>
    <w:rsid w:val="0CB56867"/>
    <w:rsid w:val="0CC335FF"/>
    <w:rsid w:val="0CC41080"/>
    <w:rsid w:val="0CC46728"/>
    <w:rsid w:val="0CD56D9C"/>
    <w:rsid w:val="0CE70DC5"/>
    <w:rsid w:val="0CEB0F40"/>
    <w:rsid w:val="0CED4443"/>
    <w:rsid w:val="0CEE7CC6"/>
    <w:rsid w:val="0D074FED"/>
    <w:rsid w:val="0D183D8B"/>
    <w:rsid w:val="0D1A10C6"/>
    <w:rsid w:val="0D213998"/>
    <w:rsid w:val="0D22141A"/>
    <w:rsid w:val="0D23109A"/>
    <w:rsid w:val="0D296826"/>
    <w:rsid w:val="0D5044E7"/>
    <w:rsid w:val="0D5166E6"/>
    <w:rsid w:val="0D5663F1"/>
    <w:rsid w:val="0D591574"/>
    <w:rsid w:val="0D67410D"/>
    <w:rsid w:val="0D6E5C96"/>
    <w:rsid w:val="0D815336"/>
    <w:rsid w:val="0D953957"/>
    <w:rsid w:val="0D9B33FC"/>
    <w:rsid w:val="0DAB64B5"/>
    <w:rsid w:val="0DAD6057"/>
    <w:rsid w:val="0DB17A04"/>
    <w:rsid w:val="0DB3678A"/>
    <w:rsid w:val="0DBB5D95"/>
    <w:rsid w:val="0DBF479B"/>
    <w:rsid w:val="0DCD2040"/>
    <w:rsid w:val="0DD3123D"/>
    <w:rsid w:val="0DD83614"/>
    <w:rsid w:val="0DDC62CA"/>
    <w:rsid w:val="0DDD75CE"/>
    <w:rsid w:val="0DEE7869"/>
    <w:rsid w:val="0E2912E6"/>
    <w:rsid w:val="0E2D0652"/>
    <w:rsid w:val="0E2F3B55"/>
    <w:rsid w:val="0E324B7B"/>
    <w:rsid w:val="0E3634E0"/>
    <w:rsid w:val="0E3E7144"/>
    <w:rsid w:val="0E5C7E9D"/>
    <w:rsid w:val="0E887A67"/>
    <w:rsid w:val="0E8E1971"/>
    <w:rsid w:val="0E947667"/>
    <w:rsid w:val="0EB51830"/>
    <w:rsid w:val="0EDE27A2"/>
    <w:rsid w:val="0EEF4E8D"/>
    <w:rsid w:val="0EF048CE"/>
    <w:rsid w:val="0F0373B1"/>
    <w:rsid w:val="0F1550CD"/>
    <w:rsid w:val="0F1C7A23"/>
    <w:rsid w:val="0F20565C"/>
    <w:rsid w:val="0F244062"/>
    <w:rsid w:val="0F2D2774"/>
    <w:rsid w:val="0F4B3A73"/>
    <w:rsid w:val="0F4E072A"/>
    <w:rsid w:val="0F5848BD"/>
    <w:rsid w:val="0F5D15C4"/>
    <w:rsid w:val="0F615B6E"/>
    <w:rsid w:val="0F6770D5"/>
    <w:rsid w:val="0F6F0C5E"/>
    <w:rsid w:val="0F7C0FD6"/>
    <w:rsid w:val="0F883D87"/>
    <w:rsid w:val="0F8B058F"/>
    <w:rsid w:val="0F931DEF"/>
    <w:rsid w:val="0F995326"/>
    <w:rsid w:val="0F9E17AE"/>
    <w:rsid w:val="0FA66BBA"/>
    <w:rsid w:val="0FC64EF0"/>
    <w:rsid w:val="0FCE6A44"/>
    <w:rsid w:val="0FDD4B16"/>
    <w:rsid w:val="0FE465FF"/>
    <w:rsid w:val="0FE82EA7"/>
    <w:rsid w:val="0FEA05A8"/>
    <w:rsid w:val="0FF05D35"/>
    <w:rsid w:val="0FF64566"/>
    <w:rsid w:val="101D58FF"/>
    <w:rsid w:val="101F0E02"/>
    <w:rsid w:val="10211A16"/>
    <w:rsid w:val="1026298B"/>
    <w:rsid w:val="102E7D98"/>
    <w:rsid w:val="1039742E"/>
    <w:rsid w:val="1040682D"/>
    <w:rsid w:val="1046543F"/>
    <w:rsid w:val="104E60CE"/>
    <w:rsid w:val="104F3B50"/>
    <w:rsid w:val="106172ED"/>
    <w:rsid w:val="106D6A56"/>
    <w:rsid w:val="106E6603"/>
    <w:rsid w:val="10725009"/>
    <w:rsid w:val="107752B0"/>
    <w:rsid w:val="107B7182"/>
    <w:rsid w:val="10802540"/>
    <w:rsid w:val="10856CB8"/>
    <w:rsid w:val="108E2D59"/>
    <w:rsid w:val="108E4939"/>
    <w:rsid w:val="1091064D"/>
    <w:rsid w:val="1096176D"/>
    <w:rsid w:val="109D16D1"/>
    <w:rsid w:val="10A175DF"/>
    <w:rsid w:val="10AB2BE5"/>
    <w:rsid w:val="10C33B0F"/>
    <w:rsid w:val="10C71323"/>
    <w:rsid w:val="10E31E45"/>
    <w:rsid w:val="10E62DCA"/>
    <w:rsid w:val="10EA17D0"/>
    <w:rsid w:val="10EA39CE"/>
    <w:rsid w:val="110113F5"/>
    <w:rsid w:val="11012F95"/>
    <w:rsid w:val="110754FD"/>
    <w:rsid w:val="110C1984"/>
    <w:rsid w:val="110E42F0"/>
    <w:rsid w:val="11127DD4"/>
    <w:rsid w:val="11165B17"/>
    <w:rsid w:val="11213EA8"/>
    <w:rsid w:val="1128259E"/>
    <w:rsid w:val="11285A31"/>
    <w:rsid w:val="112B435E"/>
    <w:rsid w:val="11337646"/>
    <w:rsid w:val="113B24D4"/>
    <w:rsid w:val="113C4DD2"/>
    <w:rsid w:val="114917E9"/>
    <w:rsid w:val="11524677"/>
    <w:rsid w:val="11530FFE"/>
    <w:rsid w:val="1155307D"/>
    <w:rsid w:val="115A63EA"/>
    <w:rsid w:val="117748B7"/>
    <w:rsid w:val="119079DF"/>
    <w:rsid w:val="11930964"/>
    <w:rsid w:val="119E6CF5"/>
    <w:rsid w:val="11A92009"/>
    <w:rsid w:val="11B6439C"/>
    <w:rsid w:val="11C314B3"/>
    <w:rsid w:val="11CC6EBD"/>
    <w:rsid w:val="11D75DD8"/>
    <w:rsid w:val="11E164E5"/>
    <w:rsid w:val="11E319E8"/>
    <w:rsid w:val="12014080"/>
    <w:rsid w:val="121D08C8"/>
    <w:rsid w:val="122327D1"/>
    <w:rsid w:val="122B630F"/>
    <w:rsid w:val="12463C8B"/>
    <w:rsid w:val="12494906"/>
    <w:rsid w:val="1254771D"/>
    <w:rsid w:val="12550A22"/>
    <w:rsid w:val="1255519F"/>
    <w:rsid w:val="12556134"/>
    <w:rsid w:val="125A4EAA"/>
    <w:rsid w:val="126B2BAF"/>
    <w:rsid w:val="127226E9"/>
    <w:rsid w:val="12750F57"/>
    <w:rsid w:val="1277445A"/>
    <w:rsid w:val="12833AF0"/>
    <w:rsid w:val="12870D81"/>
    <w:rsid w:val="128B0EFC"/>
    <w:rsid w:val="12980212"/>
    <w:rsid w:val="12AC1431"/>
    <w:rsid w:val="12AD10B0"/>
    <w:rsid w:val="12B17AB7"/>
    <w:rsid w:val="12B27FA6"/>
    <w:rsid w:val="12BC6158"/>
    <w:rsid w:val="12C1625C"/>
    <w:rsid w:val="12D62551"/>
    <w:rsid w:val="12EF7DDA"/>
    <w:rsid w:val="12FA11B0"/>
    <w:rsid w:val="131637C1"/>
    <w:rsid w:val="131A3C63"/>
    <w:rsid w:val="131F00EB"/>
    <w:rsid w:val="13286177"/>
    <w:rsid w:val="132B2701"/>
    <w:rsid w:val="13640BDF"/>
    <w:rsid w:val="136640E2"/>
    <w:rsid w:val="136F66CF"/>
    <w:rsid w:val="138573EA"/>
    <w:rsid w:val="13A25573"/>
    <w:rsid w:val="13B0325D"/>
    <w:rsid w:val="13B74DE6"/>
    <w:rsid w:val="13B862C8"/>
    <w:rsid w:val="13B93B6C"/>
    <w:rsid w:val="13BF1AA0"/>
    <w:rsid w:val="13D8531B"/>
    <w:rsid w:val="13E001A9"/>
    <w:rsid w:val="13ED10E4"/>
    <w:rsid w:val="13F75BCF"/>
    <w:rsid w:val="14075E6A"/>
    <w:rsid w:val="140A6DEE"/>
    <w:rsid w:val="14156B47"/>
    <w:rsid w:val="14186104"/>
    <w:rsid w:val="141C0B13"/>
    <w:rsid w:val="141D5E0F"/>
    <w:rsid w:val="14250C9D"/>
    <w:rsid w:val="142C4DA5"/>
    <w:rsid w:val="142D60AA"/>
    <w:rsid w:val="1431609F"/>
    <w:rsid w:val="14337FB3"/>
    <w:rsid w:val="143556B4"/>
    <w:rsid w:val="14386639"/>
    <w:rsid w:val="143A53BF"/>
    <w:rsid w:val="143D101D"/>
    <w:rsid w:val="14402391"/>
    <w:rsid w:val="144349CA"/>
    <w:rsid w:val="144500FD"/>
    <w:rsid w:val="14460456"/>
    <w:rsid w:val="144C30DB"/>
    <w:rsid w:val="14533809"/>
    <w:rsid w:val="1462532C"/>
    <w:rsid w:val="146E0BD3"/>
    <w:rsid w:val="14723BD8"/>
    <w:rsid w:val="147564C5"/>
    <w:rsid w:val="147719A1"/>
    <w:rsid w:val="148C60C3"/>
    <w:rsid w:val="14985759"/>
    <w:rsid w:val="14A02B65"/>
    <w:rsid w:val="14A954D4"/>
    <w:rsid w:val="14AF537E"/>
    <w:rsid w:val="14B33D84"/>
    <w:rsid w:val="14B41806"/>
    <w:rsid w:val="14C9137C"/>
    <w:rsid w:val="14D507B4"/>
    <w:rsid w:val="14D80741"/>
    <w:rsid w:val="14DF394F"/>
    <w:rsid w:val="14E82F59"/>
    <w:rsid w:val="14EA3EDE"/>
    <w:rsid w:val="14F238F6"/>
    <w:rsid w:val="15185CA7"/>
    <w:rsid w:val="15242DBE"/>
    <w:rsid w:val="15426EF5"/>
    <w:rsid w:val="15456B76"/>
    <w:rsid w:val="154F7486"/>
    <w:rsid w:val="15515DC0"/>
    <w:rsid w:val="15743E42"/>
    <w:rsid w:val="157518C4"/>
    <w:rsid w:val="15806971"/>
    <w:rsid w:val="15871BFF"/>
    <w:rsid w:val="159A3ED7"/>
    <w:rsid w:val="15B526AD"/>
    <w:rsid w:val="15B56E2A"/>
    <w:rsid w:val="15BC6495"/>
    <w:rsid w:val="15BC7F70"/>
    <w:rsid w:val="15BF13AE"/>
    <w:rsid w:val="15C75E4B"/>
    <w:rsid w:val="15DC6F2C"/>
    <w:rsid w:val="15E056F0"/>
    <w:rsid w:val="15E679DC"/>
    <w:rsid w:val="15EC2BAE"/>
    <w:rsid w:val="16003A26"/>
    <w:rsid w:val="16134C45"/>
    <w:rsid w:val="16196B4E"/>
    <w:rsid w:val="16201D5D"/>
    <w:rsid w:val="16213F5B"/>
    <w:rsid w:val="1632626C"/>
    <w:rsid w:val="1652472A"/>
    <w:rsid w:val="16574435"/>
    <w:rsid w:val="16680D0F"/>
    <w:rsid w:val="167823EB"/>
    <w:rsid w:val="1682657E"/>
    <w:rsid w:val="16853C7F"/>
    <w:rsid w:val="168C360A"/>
    <w:rsid w:val="168E2390"/>
    <w:rsid w:val="16907A92"/>
    <w:rsid w:val="1697741D"/>
    <w:rsid w:val="169C38A4"/>
    <w:rsid w:val="169F00AC"/>
    <w:rsid w:val="16A36AB3"/>
    <w:rsid w:val="16A85139"/>
    <w:rsid w:val="16AC3B3F"/>
    <w:rsid w:val="16AD15C0"/>
    <w:rsid w:val="16AE4E44"/>
    <w:rsid w:val="16AE7234"/>
    <w:rsid w:val="16B334CA"/>
    <w:rsid w:val="16B90C56"/>
    <w:rsid w:val="16C83F29"/>
    <w:rsid w:val="16CF2DFA"/>
    <w:rsid w:val="16E3789C"/>
    <w:rsid w:val="16E762A2"/>
    <w:rsid w:val="16F83FBE"/>
    <w:rsid w:val="170A3ED8"/>
    <w:rsid w:val="171325EA"/>
    <w:rsid w:val="171347E8"/>
    <w:rsid w:val="17157CEB"/>
    <w:rsid w:val="17176A71"/>
    <w:rsid w:val="171A79F6"/>
    <w:rsid w:val="171C2D19"/>
    <w:rsid w:val="171D7982"/>
    <w:rsid w:val="171E63FC"/>
    <w:rsid w:val="172353B2"/>
    <w:rsid w:val="17285513"/>
    <w:rsid w:val="17394A28"/>
    <w:rsid w:val="17411E34"/>
    <w:rsid w:val="174D36C8"/>
    <w:rsid w:val="17515952"/>
    <w:rsid w:val="175852DC"/>
    <w:rsid w:val="175A1C4F"/>
    <w:rsid w:val="176A0A7A"/>
    <w:rsid w:val="17702983"/>
    <w:rsid w:val="17810BC7"/>
    <w:rsid w:val="17970792"/>
    <w:rsid w:val="17974DC1"/>
    <w:rsid w:val="17A27073"/>
    <w:rsid w:val="17AC14E3"/>
    <w:rsid w:val="17AF2468"/>
    <w:rsid w:val="17DD5536"/>
    <w:rsid w:val="17DF3570"/>
    <w:rsid w:val="17DF51B5"/>
    <w:rsid w:val="17E064BA"/>
    <w:rsid w:val="17E52942"/>
    <w:rsid w:val="17F11DA8"/>
    <w:rsid w:val="17F141D6"/>
    <w:rsid w:val="18007A67"/>
    <w:rsid w:val="180453F5"/>
    <w:rsid w:val="18127F8E"/>
    <w:rsid w:val="1813218C"/>
    <w:rsid w:val="18147C0E"/>
    <w:rsid w:val="18186614"/>
    <w:rsid w:val="181A1D61"/>
    <w:rsid w:val="181C6D85"/>
    <w:rsid w:val="182127A7"/>
    <w:rsid w:val="18386326"/>
    <w:rsid w:val="183C554F"/>
    <w:rsid w:val="183D2FD1"/>
    <w:rsid w:val="184120A5"/>
    <w:rsid w:val="184E0CEC"/>
    <w:rsid w:val="185309F7"/>
    <w:rsid w:val="18584E7F"/>
    <w:rsid w:val="186C3B20"/>
    <w:rsid w:val="187A2E35"/>
    <w:rsid w:val="187F2B40"/>
    <w:rsid w:val="18816044"/>
    <w:rsid w:val="188D6A31"/>
    <w:rsid w:val="18927A65"/>
    <w:rsid w:val="18977C2D"/>
    <w:rsid w:val="18985C69"/>
    <w:rsid w:val="18A02527"/>
    <w:rsid w:val="18B07A8C"/>
    <w:rsid w:val="18C5361D"/>
    <w:rsid w:val="18D212C6"/>
    <w:rsid w:val="18D74370"/>
    <w:rsid w:val="18E1155C"/>
    <w:rsid w:val="18ED5373"/>
    <w:rsid w:val="18FD7B8B"/>
    <w:rsid w:val="19014BE1"/>
    <w:rsid w:val="19091121"/>
    <w:rsid w:val="191B4BBD"/>
    <w:rsid w:val="19281CD4"/>
    <w:rsid w:val="193844ED"/>
    <w:rsid w:val="19484788"/>
    <w:rsid w:val="194F4112"/>
    <w:rsid w:val="195238B5"/>
    <w:rsid w:val="1953639C"/>
    <w:rsid w:val="1954601C"/>
    <w:rsid w:val="19597CDA"/>
    <w:rsid w:val="195A5D27"/>
    <w:rsid w:val="195E21AF"/>
    <w:rsid w:val="197B045A"/>
    <w:rsid w:val="197E13DE"/>
    <w:rsid w:val="1986206E"/>
    <w:rsid w:val="198E4EFC"/>
    <w:rsid w:val="19B33E37"/>
    <w:rsid w:val="19B418B8"/>
    <w:rsid w:val="19B47981"/>
    <w:rsid w:val="19B5733A"/>
    <w:rsid w:val="19D72D72"/>
    <w:rsid w:val="19D75A88"/>
    <w:rsid w:val="19DA3CF6"/>
    <w:rsid w:val="19DE3122"/>
    <w:rsid w:val="19EB3F91"/>
    <w:rsid w:val="19EF40C6"/>
    <w:rsid w:val="19F22F61"/>
    <w:rsid w:val="19FE22BB"/>
    <w:rsid w:val="1A023DF9"/>
    <w:rsid w:val="1A0F674F"/>
    <w:rsid w:val="1A1041D0"/>
    <w:rsid w:val="1A120332"/>
    <w:rsid w:val="1A2972F9"/>
    <w:rsid w:val="1A36356E"/>
    <w:rsid w:val="1A371E92"/>
    <w:rsid w:val="1A4646AB"/>
    <w:rsid w:val="1A684EFE"/>
    <w:rsid w:val="1A6F586F"/>
    <w:rsid w:val="1A734275"/>
    <w:rsid w:val="1A807D07"/>
    <w:rsid w:val="1A9212A7"/>
    <w:rsid w:val="1A95595E"/>
    <w:rsid w:val="1A9D1836"/>
    <w:rsid w:val="1AAA694D"/>
    <w:rsid w:val="1AAD78D2"/>
    <w:rsid w:val="1AC31A76"/>
    <w:rsid w:val="1ACE5888"/>
    <w:rsid w:val="1AD2428E"/>
    <w:rsid w:val="1ADC0421"/>
    <w:rsid w:val="1ADD2620"/>
    <w:rsid w:val="1AE4582E"/>
    <w:rsid w:val="1AE767B2"/>
    <w:rsid w:val="1AEF1640"/>
    <w:rsid w:val="1AF12CC8"/>
    <w:rsid w:val="1AF225C5"/>
    <w:rsid w:val="1AFB7651"/>
    <w:rsid w:val="1B134CF8"/>
    <w:rsid w:val="1B2A7AAB"/>
    <w:rsid w:val="1B5B7F3C"/>
    <w:rsid w:val="1B6D5BEA"/>
    <w:rsid w:val="1B6E01C3"/>
    <w:rsid w:val="1B726CD9"/>
    <w:rsid w:val="1B761519"/>
    <w:rsid w:val="1B7D4727"/>
    <w:rsid w:val="1B7F1E29"/>
    <w:rsid w:val="1B877235"/>
    <w:rsid w:val="1B886F1E"/>
    <w:rsid w:val="1B8D6090"/>
    <w:rsid w:val="1B9118D8"/>
    <w:rsid w:val="1B942514"/>
    <w:rsid w:val="1B9752D1"/>
    <w:rsid w:val="1BA4182E"/>
    <w:rsid w:val="1BB2137E"/>
    <w:rsid w:val="1BB67D84"/>
    <w:rsid w:val="1BB75806"/>
    <w:rsid w:val="1BC4709A"/>
    <w:rsid w:val="1BCD19AD"/>
    <w:rsid w:val="1BD92305"/>
    <w:rsid w:val="1BDA123E"/>
    <w:rsid w:val="1BDA4AC1"/>
    <w:rsid w:val="1BF96324"/>
    <w:rsid w:val="1BFA6AC3"/>
    <w:rsid w:val="1C0A6971"/>
    <w:rsid w:val="1C0F3C96"/>
    <w:rsid w:val="1C124C1B"/>
    <w:rsid w:val="1C1F3F30"/>
    <w:rsid w:val="1C3041CB"/>
    <w:rsid w:val="1C363B56"/>
    <w:rsid w:val="1C3A035E"/>
    <w:rsid w:val="1C3C12E2"/>
    <w:rsid w:val="1C411EE7"/>
    <w:rsid w:val="1C513CF2"/>
    <w:rsid w:val="1C55440A"/>
    <w:rsid w:val="1C5F4D1A"/>
    <w:rsid w:val="1C613EFC"/>
    <w:rsid w:val="1C746C70"/>
    <w:rsid w:val="1C7B464A"/>
    <w:rsid w:val="1C931CF1"/>
    <w:rsid w:val="1CA36708"/>
    <w:rsid w:val="1CB347A4"/>
    <w:rsid w:val="1CB6474E"/>
    <w:rsid w:val="1CC052B0"/>
    <w:rsid w:val="1CC96948"/>
    <w:rsid w:val="1CCA3322"/>
    <w:rsid w:val="1CDD353D"/>
    <w:rsid w:val="1CF322CF"/>
    <w:rsid w:val="1D07422E"/>
    <w:rsid w:val="1D1125A5"/>
    <w:rsid w:val="1D166A47"/>
    <w:rsid w:val="1D3102EB"/>
    <w:rsid w:val="1D3614FA"/>
    <w:rsid w:val="1D394FF0"/>
    <w:rsid w:val="1D3E4388"/>
    <w:rsid w:val="1D430A21"/>
    <w:rsid w:val="1D444044"/>
    <w:rsid w:val="1D4D182F"/>
    <w:rsid w:val="1D7A3778"/>
    <w:rsid w:val="1D924AF2"/>
    <w:rsid w:val="1D962BCE"/>
    <w:rsid w:val="1DAE7EBF"/>
    <w:rsid w:val="1DAF6D7D"/>
    <w:rsid w:val="1DB41DC8"/>
    <w:rsid w:val="1DBA7555"/>
    <w:rsid w:val="1DBF5BDB"/>
    <w:rsid w:val="1DCD2970"/>
    <w:rsid w:val="1DD57D7F"/>
    <w:rsid w:val="1DF1193F"/>
    <w:rsid w:val="1E027949"/>
    <w:rsid w:val="1E140EE8"/>
    <w:rsid w:val="1E1B2496"/>
    <w:rsid w:val="1E297809"/>
    <w:rsid w:val="1E310498"/>
    <w:rsid w:val="1E480F24"/>
    <w:rsid w:val="1E4C3240"/>
    <w:rsid w:val="1E521E5C"/>
    <w:rsid w:val="1E6A3B55"/>
    <w:rsid w:val="1E80281D"/>
    <w:rsid w:val="1E95493A"/>
    <w:rsid w:val="1E9C42C4"/>
    <w:rsid w:val="1E9F7DAC"/>
    <w:rsid w:val="1EA261CE"/>
    <w:rsid w:val="1EAB4708"/>
    <w:rsid w:val="1EAD2181"/>
    <w:rsid w:val="1EB80371"/>
    <w:rsid w:val="1EBC2FC3"/>
    <w:rsid w:val="1EBC5E1C"/>
    <w:rsid w:val="1EC7098C"/>
    <w:rsid w:val="1ECB5101"/>
    <w:rsid w:val="1ED03CC7"/>
    <w:rsid w:val="1EDD2B2F"/>
    <w:rsid w:val="1EDF18B6"/>
    <w:rsid w:val="1EE03AB4"/>
    <w:rsid w:val="1EE45D3E"/>
    <w:rsid w:val="1EF736D9"/>
    <w:rsid w:val="1F0E0F9E"/>
    <w:rsid w:val="1F13300A"/>
    <w:rsid w:val="1F163F8E"/>
    <w:rsid w:val="1F1F12A2"/>
    <w:rsid w:val="1F281DCF"/>
    <w:rsid w:val="1F332CA6"/>
    <w:rsid w:val="1F335D20"/>
    <w:rsid w:val="1F3D4BC9"/>
    <w:rsid w:val="1F423B59"/>
    <w:rsid w:val="1F4B297B"/>
    <w:rsid w:val="1F5E7C06"/>
    <w:rsid w:val="1F610B8A"/>
    <w:rsid w:val="1F62660C"/>
    <w:rsid w:val="1F641B0F"/>
    <w:rsid w:val="1F753FA8"/>
    <w:rsid w:val="1F7E03C6"/>
    <w:rsid w:val="1F916DC4"/>
    <w:rsid w:val="1F957AC6"/>
    <w:rsid w:val="1FA060F1"/>
    <w:rsid w:val="1FA565E8"/>
    <w:rsid w:val="1FA676F1"/>
    <w:rsid w:val="1FB42B93"/>
    <w:rsid w:val="1FB81599"/>
    <w:rsid w:val="1FBB0C50"/>
    <w:rsid w:val="1FD00E3E"/>
    <w:rsid w:val="1FD83CF3"/>
    <w:rsid w:val="1FDD5F55"/>
    <w:rsid w:val="1FE458E0"/>
    <w:rsid w:val="1FE55560"/>
    <w:rsid w:val="1FE864E5"/>
    <w:rsid w:val="1FEB3581"/>
    <w:rsid w:val="20053897"/>
    <w:rsid w:val="20151933"/>
    <w:rsid w:val="20323461"/>
    <w:rsid w:val="203B04ED"/>
    <w:rsid w:val="204123F7"/>
    <w:rsid w:val="2046687E"/>
    <w:rsid w:val="207E49DB"/>
    <w:rsid w:val="2080575F"/>
    <w:rsid w:val="208131E0"/>
    <w:rsid w:val="2085546A"/>
    <w:rsid w:val="20915259"/>
    <w:rsid w:val="209E240F"/>
    <w:rsid w:val="209E2790"/>
    <w:rsid w:val="20A05C93"/>
    <w:rsid w:val="20A5198A"/>
    <w:rsid w:val="20A67B9D"/>
    <w:rsid w:val="20A76D43"/>
    <w:rsid w:val="20A90B21"/>
    <w:rsid w:val="20A943A5"/>
    <w:rsid w:val="20AF2A2B"/>
    <w:rsid w:val="20B117B1"/>
    <w:rsid w:val="20BA463F"/>
    <w:rsid w:val="20BF6548"/>
    <w:rsid w:val="20CA48D9"/>
    <w:rsid w:val="20CC7DDC"/>
    <w:rsid w:val="20D067E3"/>
    <w:rsid w:val="20E25803"/>
    <w:rsid w:val="20ED5D93"/>
    <w:rsid w:val="20EE3814"/>
    <w:rsid w:val="20F60C21"/>
    <w:rsid w:val="20FB092C"/>
    <w:rsid w:val="21090BF1"/>
    <w:rsid w:val="211069FA"/>
    <w:rsid w:val="21156B08"/>
    <w:rsid w:val="21192FCD"/>
    <w:rsid w:val="211C0E60"/>
    <w:rsid w:val="21222D6A"/>
    <w:rsid w:val="21253669"/>
    <w:rsid w:val="212D6B7C"/>
    <w:rsid w:val="21325E28"/>
    <w:rsid w:val="21471195"/>
    <w:rsid w:val="214D162F"/>
    <w:rsid w:val="214D4EB3"/>
    <w:rsid w:val="216A315E"/>
    <w:rsid w:val="2171636C"/>
    <w:rsid w:val="2198622B"/>
    <w:rsid w:val="219D4849"/>
    <w:rsid w:val="21AB524C"/>
    <w:rsid w:val="21AD0AEE"/>
    <w:rsid w:val="21B3155B"/>
    <w:rsid w:val="21C9227E"/>
    <w:rsid w:val="21CF0904"/>
    <w:rsid w:val="21DE311D"/>
    <w:rsid w:val="21E01690"/>
    <w:rsid w:val="21E738ED"/>
    <w:rsid w:val="21F77FBB"/>
    <w:rsid w:val="21F8754A"/>
    <w:rsid w:val="21FC5F50"/>
    <w:rsid w:val="21FC7FB4"/>
    <w:rsid w:val="220277B0"/>
    <w:rsid w:val="220742E1"/>
    <w:rsid w:val="22077B64"/>
    <w:rsid w:val="22161381"/>
    <w:rsid w:val="22241693"/>
    <w:rsid w:val="2232642A"/>
    <w:rsid w:val="22353B2B"/>
    <w:rsid w:val="223A7FB3"/>
    <w:rsid w:val="223B5A35"/>
    <w:rsid w:val="224366C4"/>
    <w:rsid w:val="22520EDD"/>
    <w:rsid w:val="225A62E9"/>
    <w:rsid w:val="227F2CA6"/>
    <w:rsid w:val="22821CAA"/>
    <w:rsid w:val="228316AC"/>
    <w:rsid w:val="22884AE8"/>
    <w:rsid w:val="229D2256"/>
    <w:rsid w:val="22A22461"/>
    <w:rsid w:val="22BA70FC"/>
    <w:rsid w:val="22C00CF5"/>
    <w:rsid w:val="22D514B6"/>
    <w:rsid w:val="22D75075"/>
    <w:rsid w:val="22EA5BD8"/>
    <w:rsid w:val="23030A63"/>
    <w:rsid w:val="230B1590"/>
    <w:rsid w:val="23251923"/>
    <w:rsid w:val="232E1B45"/>
    <w:rsid w:val="23312AC9"/>
    <w:rsid w:val="23476F0C"/>
    <w:rsid w:val="23490170"/>
    <w:rsid w:val="234D067D"/>
    <w:rsid w:val="234E5FE7"/>
    <w:rsid w:val="23615817"/>
    <w:rsid w:val="23626B1C"/>
    <w:rsid w:val="236B3BA8"/>
    <w:rsid w:val="23723533"/>
    <w:rsid w:val="23AA2793"/>
    <w:rsid w:val="23C640E9"/>
    <w:rsid w:val="23CA19C3"/>
    <w:rsid w:val="23E92278"/>
    <w:rsid w:val="23FE282D"/>
    <w:rsid w:val="24061828"/>
    <w:rsid w:val="2413264C"/>
    <w:rsid w:val="24215C55"/>
    <w:rsid w:val="242B3FE6"/>
    <w:rsid w:val="243335F1"/>
    <w:rsid w:val="243D6F0D"/>
    <w:rsid w:val="24404E85"/>
    <w:rsid w:val="24576675"/>
    <w:rsid w:val="245A12B2"/>
    <w:rsid w:val="245B32B8"/>
    <w:rsid w:val="245F550D"/>
    <w:rsid w:val="2470308B"/>
    <w:rsid w:val="2475326E"/>
    <w:rsid w:val="247E2835"/>
    <w:rsid w:val="24873B27"/>
    <w:rsid w:val="24975894"/>
    <w:rsid w:val="249E0C13"/>
    <w:rsid w:val="24A274A8"/>
    <w:rsid w:val="24AC0D88"/>
    <w:rsid w:val="24C00FEF"/>
    <w:rsid w:val="24D80130"/>
    <w:rsid w:val="24DF4D8F"/>
    <w:rsid w:val="24EE5BD5"/>
    <w:rsid w:val="24F81536"/>
    <w:rsid w:val="24F95A17"/>
    <w:rsid w:val="25040446"/>
    <w:rsid w:val="25043CC9"/>
    <w:rsid w:val="25076E4C"/>
    <w:rsid w:val="252B3B89"/>
    <w:rsid w:val="25361F1A"/>
    <w:rsid w:val="253908EB"/>
    <w:rsid w:val="25457FB6"/>
    <w:rsid w:val="254C7941"/>
    <w:rsid w:val="25532171"/>
    <w:rsid w:val="25560250"/>
    <w:rsid w:val="255A6C57"/>
    <w:rsid w:val="255D565D"/>
    <w:rsid w:val="255F52DD"/>
    <w:rsid w:val="25644FE8"/>
    <w:rsid w:val="257218BD"/>
    <w:rsid w:val="25755282"/>
    <w:rsid w:val="25760785"/>
    <w:rsid w:val="25770CEB"/>
    <w:rsid w:val="258D2929"/>
    <w:rsid w:val="25970CBA"/>
    <w:rsid w:val="25A53853"/>
    <w:rsid w:val="25B53AED"/>
    <w:rsid w:val="25C10BEA"/>
    <w:rsid w:val="25C816BA"/>
    <w:rsid w:val="25CB59E7"/>
    <w:rsid w:val="25D06895"/>
    <w:rsid w:val="25DB26A8"/>
    <w:rsid w:val="25E17E34"/>
    <w:rsid w:val="25EB0744"/>
    <w:rsid w:val="25F15DB5"/>
    <w:rsid w:val="25F66AD5"/>
    <w:rsid w:val="261C0F13"/>
    <w:rsid w:val="262C6FAF"/>
    <w:rsid w:val="26307BB3"/>
    <w:rsid w:val="26391836"/>
    <w:rsid w:val="263C7249"/>
    <w:rsid w:val="26522595"/>
    <w:rsid w:val="266456CD"/>
    <w:rsid w:val="266A7FA7"/>
    <w:rsid w:val="26770328"/>
    <w:rsid w:val="267E3536"/>
    <w:rsid w:val="26A85D28"/>
    <w:rsid w:val="26AF721F"/>
    <w:rsid w:val="26B01787"/>
    <w:rsid w:val="26BA267F"/>
    <w:rsid w:val="26BD00CA"/>
    <w:rsid w:val="26CD0BBF"/>
    <w:rsid w:val="26D1507C"/>
    <w:rsid w:val="26DC5ACE"/>
    <w:rsid w:val="26DE4854"/>
    <w:rsid w:val="26E4095C"/>
    <w:rsid w:val="26FD70C0"/>
    <w:rsid w:val="27490680"/>
    <w:rsid w:val="274C4E88"/>
    <w:rsid w:val="27577622"/>
    <w:rsid w:val="275A639C"/>
    <w:rsid w:val="276B0FC8"/>
    <w:rsid w:val="276B793B"/>
    <w:rsid w:val="276C53BD"/>
    <w:rsid w:val="27804AA0"/>
    <w:rsid w:val="278065DC"/>
    <w:rsid w:val="278B6531"/>
    <w:rsid w:val="27901BC1"/>
    <w:rsid w:val="2796306F"/>
    <w:rsid w:val="279B2689"/>
    <w:rsid w:val="27A02115"/>
    <w:rsid w:val="27AC61A6"/>
    <w:rsid w:val="27AD081F"/>
    <w:rsid w:val="27AD2455"/>
    <w:rsid w:val="27C94452"/>
    <w:rsid w:val="27D43AE7"/>
    <w:rsid w:val="27D97F6F"/>
    <w:rsid w:val="27DC4832"/>
    <w:rsid w:val="27E07918"/>
    <w:rsid w:val="27E64D5A"/>
    <w:rsid w:val="27E77285"/>
    <w:rsid w:val="2802142A"/>
    <w:rsid w:val="280330A2"/>
    <w:rsid w:val="280A6540"/>
    <w:rsid w:val="28102647"/>
    <w:rsid w:val="281213CE"/>
    <w:rsid w:val="281B09AE"/>
    <w:rsid w:val="281E73DF"/>
    <w:rsid w:val="281F2C62"/>
    <w:rsid w:val="282028E2"/>
    <w:rsid w:val="282B0C73"/>
    <w:rsid w:val="28317CE5"/>
    <w:rsid w:val="28331903"/>
    <w:rsid w:val="28375E48"/>
    <w:rsid w:val="285D66A4"/>
    <w:rsid w:val="28726E69"/>
    <w:rsid w:val="2874236C"/>
    <w:rsid w:val="287C15FB"/>
    <w:rsid w:val="287C7952"/>
    <w:rsid w:val="28813C00"/>
    <w:rsid w:val="2886580A"/>
    <w:rsid w:val="288B0F7F"/>
    <w:rsid w:val="28935DFB"/>
    <w:rsid w:val="28B43155"/>
    <w:rsid w:val="28C6183E"/>
    <w:rsid w:val="28D4262F"/>
    <w:rsid w:val="28DF529E"/>
    <w:rsid w:val="29267AD7"/>
    <w:rsid w:val="29280F9F"/>
    <w:rsid w:val="29325D7D"/>
    <w:rsid w:val="29372091"/>
    <w:rsid w:val="293E52B8"/>
    <w:rsid w:val="29454C43"/>
    <w:rsid w:val="294B28CC"/>
    <w:rsid w:val="2955745C"/>
    <w:rsid w:val="295D4822"/>
    <w:rsid w:val="2960326E"/>
    <w:rsid w:val="29626771"/>
    <w:rsid w:val="29627A96"/>
    <w:rsid w:val="296A49CE"/>
    <w:rsid w:val="298E633C"/>
    <w:rsid w:val="29977D32"/>
    <w:rsid w:val="299D6956"/>
    <w:rsid w:val="29A30860"/>
    <w:rsid w:val="29A34FDC"/>
    <w:rsid w:val="29A70772"/>
    <w:rsid w:val="29B61A7F"/>
    <w:rsid w:val="29B73C7D"/>
    <w:rsid w:val="29CD5E21"/>
    <w:rsid w:val="29D57B88"/>
    <w:rsid w:val="29F36060"/>
    <w:rsid w:val="29F4452C"/>
    <w:rsid w:val="29FB0278"/>
    <w:rsid w:val="2A00750D"/>
    <w:rsid w:val="2A0240FC"/>
    <w:rsid w:val="2A151A98"/>
    <w:rsid w:val="2A1A17A3"/>
    <w:rsid w:val="2A1D6EA4"/>
    <w:rsid w:val="2A3967D5"/>
    <w:rsid w:val="2A3B4D90"/>
    <w:rsid w:val="2A4312D3"/>
    <w:rsid w:val="2A64509A"/>
    <w:rsid w:val="2A8A52DA"/>
    <w:rsid w:val="2A8E045D"/>
    <w:rsid w:val="2A9867EE"/>
    <w:rsid w:val="2A9F597E"/>
    <w:rsid w:val="2AA81007"/>
    <w:rsid w:val="2AAC4421"/>
    <w:rsid w:val="2AB52686"/>
    <w:rsid w:val="2AC335C3"/>
    <w:rsid w:val="2ACA1805"/>
    <w:rsid w:val="2AD875D8"/>
    <w:rsid w:val="2AE674AF"/>
    <w:rsid w:val="2AE71C45"/>
    <w:rsid w:val="2AF00502"/>
    <w:rsid w:val="2AFF7497"/>
    <w:rsid w:val="2B066E22"/>
    <w:rsid w:val="2B0B4AD7"/>
    <w:rsid w:val="2B286BC5"/>
    <w:rsid w:val="2B5214A0"/>
    <w:rsid w:val="2B611ABA"/>
    <w:rsid w:val="2B6C5576"/>
    <w:rsid w:val="2B6C58CD"/>
    <w:rsid w:val="2B6F54C8"/>
    <w:rsid w:val="2B7042D3"/>
    <w:rsid w:val="2B7054A3"/>
    <w:rsid w:val="2B785E5C"/>
    <w:rsid w:val="2B806AEC"/>
    <w:rsid w:val="2B8C21CC"/>
    <w:rsid w:val="2BA53DAD"/>
    <w:rsid w:val="2BA769AB"/>
    <w:rsid w:val="2BAB0C35"/>
    <w:rsid w:val="2BAC2E33"/>
    <w:rsid w:val="2BAE60AE"/>
    <w:rsid w:val="2BC7145E"/>
    <w:rsid w:val="2BCB36E8"/>
    <w:rsid w:val="2BCB58E6"/>
    <w:rsid w:val="2BCF20EE"/>
    <w:rsid w:val="2BD12767"/>
    <w:rsid w:val="2BDB00FF"/>
    <w:rsid w:val="2BE0256A"/>
    <w:rsid w:val="2BE207A0"/>
    <w:rsid w:val="2BE27A8A"/>
    <w:rsid w:val="2BE33CCD"/>
    <w:rsid w:val="2BEA098A"/>
    <w:rsid w:val="2BEC78A6"/>
    <w:rsid w:val="2C0028BD"/>
    <w:rsid w:val="2C046D45"/>
    <w:rsid w:val="2C2C6C04"/>
    <w:rsid w:val="2C2D2523"/>
    <w:rsid w:val="2C482CB1"/>
    <w:rsid w:val="2C493FB6"/>
    <w:rsid w:val="2C4C4F3B"/>
    <w:rsid w:val="2C72517A"/>
    <w:rsid w:val="2C74067E"/>
    <w:rsid w:val="2C7E318B"/>
    <w:rsid w:val="2C80668E"/>
    <w:rsid w:val="2C832E96"/>
    <w:rsid w:val="2C8A2821"/>
    <w:rsid w:val="2C9D5C3F"/>
    <w:rsid w:val="2CA46F92"/>
    <w:rsid w:val="2CA7654E"/>
    <w:rsid w:val="2CBD3F75"/>
    <w:rsid w:val="2CD6709D"/>
    <w:rsid w:val="2CEE0D81"/>
    <w:rsid w:val="2CF57952"/>
    <w:rsid w:val="2CFD4D5E"/>
    <w:rsid w:val="2D117C32"/>
    <w:rsid w:val="2D236108"/>
    <w:rsid w:val="2D347437"/>
    <w:rsid w:val="2D3541D2"/>
    <w:rsid w:val="2D371320"/>
    <w:rsid w:val="2D39029E"/>
    <w:rsid w:val="2D3B6DC2"/>
    <w:rsid w:val="2D4E3864"/>
    <w:rsid w:val="2D546CB5"/>
    <w:rsid w:val="2D560C70"/>
    <w:rsid w:val="2D691E8F"/>
    <w:rsid w:val="2D724C49"/>
    <w:rsid w:val="2D7968A6"/>
    <w:rsid w:val="2D817536"/>
    <w:rsid w:val="2D9716DA"/>
    <w:rsid w:val="2D990460"/>
    <w:rsid w:val="2D9E1065"/>
    <w:rsid w:val="2DC048B4"/>
    <w:rsid w:val="2DD2603B"/>
    <w:rsid w:val="2DD3550D"/>
    <w:rsid w:val="2DD76C40"/>
    <w:rsid w:val="2DDB0EC9"/>
    <w:rsid w:val="2DDE6C73"/>
    <w:rsid w:val="2DF1306D"/>
    <w:rsid w:val="2E025B4A"/>
    <w:rsid w:val="2E075211"/>
    <w:rsid w:val="2E0B749A"/>
    <w:rsid w:val="2E167A29"/>
    <w:rsid w:val="2E24038A"/>
    <w:rsid w:val="2E2425C2"/>
    <w:rsid w:val="2E4326E5"/>
    <w:rsid w:val="2E583D16"/>
    <w:rsid w:val="2E5B42CD"/>
    <w:rsid w:val="2E61338C"/>
    <w:rsid w:val="2E67652F"/>
    <w:rsid w:val="2E7610E7"/>
    <w:rsid w:val="2E855ADF"/>
    <w:rsid w:val="2E8F2ABD"/>
    <w:rsid w:val="2E922BF6"/>
    <w:rsid w:val="2E992581"/>
    <w:rsid w:val="2E9D3186"/>
    <w:rsid w:val="2E9F1F0C"/>
    <w:rsid w:val="2EB021A6"/>
    <w:rsid w:val="2EB15996"/>
    <w:rsid w:val="2EB86CF3"/>
    <w:rsid w:val="2EC55EE1"/>
    <w:rsid w:val="2EC60C00"/>
    <w:rsid w:val="2ED0406E"/>
    <w:rsid w:val="2ED316F4"/>
    <w:rsid w:val="2ED94256"/>
    <w:rsid w:val="2EDC1D71"/>
    <w:rsid w:val="2EE75DF8"/>
    <w:rsid w:val="2EF36113"/>
    <w:rsid w:val="2F0A40A0"/>
    <w:rsid w:val="2F0F21C0"/>
    <w:rsid w:val="2F265668"/>
    <w:rsid w:val="2F355C83"/>
    <w:rsid w:val="2F3A210B"/>
    <w:rsid w:val="2F424F98"/>
    <w:rsid w:val="2F4E10D9"/>
    <w:rsid w:val="2F544A7E"/>
    <w:rsid w:val="2F57706B"/>
    <w:rsid w:val="2F5F6AC7"/>
    <w:rsid w:val="2F673ED3"/>
    <w:rsid w:val="2F77416E"/>
    <w:rsid w:val="2F7C05F5"/>
    <w:rsid w:val="2F941C1A"/>
    <w:rsid w:val="2F9D43AD"/>
    <w:rsid w:val="2F9E7F46"/>
    <w:rsid w:val="2FA304B5"/>
    <w:rsid w:val="2FA539B8"/>
    <w:rsid w:val="2FAF5D8B"/>
    <w:rsid w:val="2FD25781"/>
    <w:rsid w:val="2FDC6090"/>
    <w:rsid w:val="2FED7630"/>
    <w:rsid w:val="2FF46FBA"/>
    <w:rsid w:val="2FF72146"/>
    <w:rsid w:val="30050567"/>
    <w:rsid w:val="3011436C"/>
    <w:rsid w:val="301E3D63"/>
    <w:rsid w:val="30347DA4"/>
    <w:rsid w:val="304E094E"/>
    <w:rsid w:val="30564A47"/>
    <w:rsid w:val="305C45C8"/>
    <w:rsid w:val="30635070"/>
    <w:rsid w:val="306814F8"/>
    <w:rsid w:val="307D149D"/>
    <w:rsid w:val="30897D1A"/>
    <w:rsid w:val="308C6234"/>
    <w:rsid w:val="308F13B7"/>
    <w:rsid w:val="309532C1"/>
    <w:rsid w:val="30987AC8"/>
    <w:rsid w:val="309B51CA"/>
    <w:rsid w:val="30AC6769"/>
    <w:rsid w:val="30B22105"/>
    <w:rsid w:val="30C10112"/>
    <w:rsid w:val="30CC4F90"/>
    <w:rsid w:val="30E57BC8"/>
    <w:rsid w:val="30E730CB"/>
    <w:rsid w:val="30EC7553"/>
    <w:rsid w:val="30EF584A"/>
    <w:rsid w:val="30F85563"/>
    <w:rsid w:val="30FD526E"/>
    <w:rsid w:val="31064879"/>
    <w:rsid w:val="3119139F"/>
    <w:rsid w:val="31226F27"/>
    <w:rsid w:val="312476AC"/>
    <w:rsid w:val="312F6D42"/>
    <w:rsid w:val="31300F41"/>
    <w:rsid w:val="3131017A"/>
    <w:rsid w:val="31327CC7"/>
    <w:rsid w:val="31405A23"/>
    <w:rsid w:val="31437F61"/>
    <w:rsid w:val="314D01A9"/>
    <w:rsid w:val="31570E00"/>
    <w:rsid w:val="31614F93"/>
    <w:rsid w:val="31650116"/>
    <w:rsid w:val="316E2FA4"/>
    <w:rsid w:val="31717D8A"/>
    <w:rsid w:val="318531A8"/>
    <w:rsid w:val="319B3F06"/>
    <w:rsid w:val="319D3AF3"/>
    <w:rsid w:val="31A26D0C"/>
    <w:rsid w:val="31A50EFF"/>
    <w:rsid w:val="31A74402"/>
    <w:rsid w:val="31AA2E09"/>
    <w:rsid w:val="31AA4348"/>
    <w:rsid w:val="31B62281"/>
    <w:rsid w:val="31C559E0"/>
    <w:rsid w:val="31C66EB6"/>
    <w:rsid w:val="31D73965"/>
    <w:rsid w:val="31E247E4"/>
    <w:rsid w:val="31E42E75"/>
    <w:rsid w:val="31F253EB"/>
    <w:rsid w:val="31F75486"/>
    <w:rsid w:val="32003B98"/>
    <w:rsid w:val="32167F39"/>
    <w:rsid w:val="32250554"/>
    <w:rsid w:val="322D7B5F"/>
    <w:rsid w:val="323352EB"/>
    <w:rsid w:val="325B00F2"/>
    <w:rsid w:val="325D3F31"/>
    <w:rsid w:val="3265133D"/>
    <w:rsid w:val="32673C7A"/>
    <w:rsid w:val="326B0CC8"/>
    <w:rsid w:val="3271336B"/>
    <w:rsid w:val="328153EA"/>
    <w:rsid w:val="3283271C"/>
    <w:rsid w:val="328713D4"/>
    <w:rsid w:val="32911E02"/>
    <w:rsid w:val="329D63FA"/>
    <w:rsid w:val="329D6F19"/>
    <w:rsid w:val="32A01FA9"/>
    <w:rsid w:val="32A66524"/>
    <w:rsid w:val="32A852AA"/>
    <w:rsid w:val="32AC3CB0"/>
    <w:rsid w:val="32AD1732"/>
    <w:rsid w:val="32B545C0"/>
    <w:rsid w:val="32BB5207"/>
    <w:rsid w:val="32C10C2D"/>
    <w:rsid w:val="32C41357"/>
    <w:rsid w:val="32CB4565"/>
    <w:rsid w:val="32CC1FE7"/>
    <w:rsid w:val="32D303D9"/>
    <w:rsid w:val="32DB47FF"/>
    <w:rsid w:val="32DF7982"/>
    <w:rsid w:val="32E62B90"/>
    <w:rsid w:val="32EA1597"/>
    <w:rsid w:val="32F51B26"/>
    <w:rsid w:val="32F9052C"/>
    <w:rsid w:val="331039D5"/>
    <w:rsid w:val="332D5503"/>
    <w:rsid w:val="33354DE7"/>
    <w:rsid w:val="33396D97"/>
    <w:rsid w:val="333C359F"/>
    <w:rsid w:val="333D1021"/>
    <w:rsid w:val="334928A3"/>
    <w:rsid w:val="33594111"/>
    <w:rsid w:val="335E5CD2"/>
    <w:rsid w:val="33632457"/>
    <w:rsid w:val="33662D56"/>
    <w:rsid w:val="336E016D"/>
    <w:rsid w:val="338F44D4"/>
    <w:rsid w:val="339574B1"/>
    <w:rsid w:val="33964F33"/>
    <w:rsid w:val="339C35B9"/>
    <w:rsid w:val="33AD4B58"/>
    <w:rsid w:val="33C82C9C"/>
    <w:rsid w:val="33C87900"/>
    <w:rsid w:val="33CD1809"/>
    <w:rsid w:val="33D1020F"/>
    <w:rsid w:val="33D44A17"/>
    <w:rsid w:val="33F54F4C"/>
    <w:rsid w:val="33F81754"/>
    <w:rsid w:val="33FC7807"/>
    <w:rsid w:val="33FE342B"/>
    <w:rsid w:val="33FF585B"/>
    <w:rsid w:val="340145E2"/>
    <w:rsid w:val="341474A9"/>
    <w:rsid w:val="34160D04"/>
    <w:rsid w:val="341F3B92"/>
    <w:rsid w:val="3421153E"/>
    <w:rsid w:val="342B5426"/>
    <w:rsid w:val="342C1125"/>
    <w:rsid w:val="343C56C0"/>
    <w:rsid w:val="344E5CE1"/>
    <w:rsid w:val="34542D67"/>
    <w:rsid w:val="34607E7E"/>
    <w:rsid w:val="3464038A"/>
    <w:rsid w:val="34654306"/>
    <w:rsid w:val="34677330"/>
    <w:rsid w:val="34CF03AD"/>
    <w:rsid w:val="34D70141"/>
    <w:rsid w:val="34E84D7B"/>
    <w:rsid w:val="34EC752F"/>
    <w:rsid w:val="34F2196C"/>
    <w:rsid w:val="351453A4"/>
    <w:rsid w:val="351A24E7"/>
    <w:rsid w:val="352E3C58"/>
    <w:rsid w:val="3537465F"/>
    <w:rsid w:val="353B3065"/>
    <w:rsid w:val="353C5263"/>
    <w:rsid w:val="354229F0"/>
    <w:rsid w:val="35445EF3"/>
    <w:rsid w:val="35453974"/>
    <w:rsid w:val="354A587E"/>
    <w:rsid w:val="354B2EEF"/>
    <w:rsid w:val="354C0D81"/>
    <w:rsid w:val="356815AA"/>
    <w:rsid w:val="356C7FB1"/>
    <w:rsid w:val="35727C2D"/>
    <w:rsid w:val="358259D7"/>
    <w:rsid w:val="35A2048B"/>
    <w:rsid w:val="35BC7DF1"/>
    <w:rsid w:val="35C41CC4"/>
    <w:rsid w:val="35D07CD5"/>
    <w:rsid w:val="35D850E1"/>
    <w:rsid w:val="35DB18E9"/>
    <w:rsid w:val="35E05D71"/>
    <w:rsid w:val="35E96681"/>
    <w:rsid w:val="35F2570A"/>
    <w:rsid w:val="36147D97"/>
    <w:rsid w:val="36262C62"/>
    <w:rsid w:val="363479F9"/>
    <w:rsid w:val="36350CFE"/>
    <w:rsid w:val="36480251"/>
    <w:rsid w:val="364A0BAA"/>
    <w:rsid w:val="365B56BB"/>
    <w:rsid w:val="36664DB7"/>
    <w:rsid w:val="36666836"/>
    <w:rsid w:val="36674D51"/>
    <w:rsid w:val="367555EF"/>
    <w:rsid w:val="36840A7D"/>
    <w:rsid w:val="36887484"/>
    <w:rsid w:val="36904890"/>
    <w:rsid w:val="36C26724"/>
    <w:rsid w:val="36CB30FB"/>
    <w:rsid w:val="36D60888"/>
    <w:rsid w:val="36E103F5"/>
    <w:rsid w:val="36E807A2"/>
    <w:rsid w:val="36EA2EF3"/>
    <w:rsid w:val="36EB7528"/>
    <w:rsid w:val="36F445B4"/>
    <w:rsid w:val="36F47E38"/>
    <w:rsid w:val="36F86EB7"/>
    <w:rsid w:val="36FB19C1"/>
    <w:rsid w:val="370F6463"/>
    <w:rsid w:val="3730221B"/>
    <w:rsid w:val="37366323"/>
    <w:rsid w:val="373D5CAD"/>
    <w:rsid w:val="373E372F"/>
    <w:rsid w:val="37495343"/>
    <w:rsid w:val="37564659"/>
    <w:rsid w:val="375720DA"/>
    <w:rsid w:val="3774310E"/>
    <w:rsid w:val="37851925"/>
    <w:rsid w:val="378C162B"/>
    <w:rsid w:val="378F2234"/>
    <w:rsid w:val="37977641"/>
    <w:rsid w:val="37A20571"/>
    <w:rsid w:val="37B05FEC"/>
    <w:rsid w:val="37BA3B0D"/>
    <w:rsid w:val="37C25F06"/>
    <w:rsid w:val="37CE559C"/>
    <w:rsid w:val="37D00A9F"/>
    <w:rsid w:val="37DB756D"/>
    <w:rsid w:val="37E348AB"/>
    <w:rsid w:val="37EA3D4B"/>
    <w:rsid w:val="37EA5F08"/>
    <w:rsid w:val="37F25055"/>
    <w:rsid w:val="37F76B0F"/>
    <w:rsid w:val="38020580"/>
    <w:rsid w:val="38070935"/>
    <w:rsid w:val="380B7600"/>
    <w:rsid w:val="380D768A"/>
    <w:rsid w:val="38157F0F"/>
    <w:rsid w:val="38196915"/>
    <w:rsid w:val="381D531B"/>
    <w:rsid w:val="38365EC5"/>
    <w:rsid w:val="3842555B"/>
    <w:rsid w:val="385201EA"/>
    <w:rsid w:val="38666A14"/>
    <w:rsid w:val="38695D65"/>
    <w:rsid w:val="38735D2A"/>
    <w:rsid w:val="387D663A"/>
    <w:rsid w:val="38803184"/>
    <w:rsid w:val="38845FC5"/>
    <w:rsid w:val="388A594F"/>
    <w:rsid w:val="388D46D6"/>
    <w:rsid w:val="38964FE5"/>
    <w:rsid w:val="38C735B6"/>
    <w:rsid w:val="38CA1FBC"/>
    <w:rsid w:val="38CA47E2"/>
    <w:rsid w:val="38D41CF3"/>
    <w:rsid w:val="38D47F42"/>
    <w:rsid w:val="38D846FF"/>
    <w:rsid w:val="38E42B66"/>
    <w:rsid w:val="38FF1191"/>
    <w:rsid w:val="39003390"/>
    <w:rsid w:val="39041D96"/>
    <w:rsid w:val="39276AD2"/>
    <w:rsid w:val="392B32DA"/>
    <w:rsid w:val="392E6A04"/>
    <w:rsid w:val="393051E4"/>
    <w:rsid w:val="39401BFB"/>
    <w:rsid w:val="3941547E"/>
    <w:rsid w:val="395850A3"/>
    <w:rsid w:val="39893797"/>
    <w:rsid w:val="398E557D"/>
    <w:rsid w:val="3997040B"/>
    <w:rsid w:val="39A847F5"/>
    <w:rsid w:val="39C82DD9"/>
    <w:rsid w:val="39C95B49"/>
    <w:rsid w:val="39CB4B25"/>
    <w:rsid w:val="39D80E75"/>
    <w:rsid w:val="39E11784"/>
    <w:rsid w:val="39EF0A9A"/>
    <w:rsid w:val="39FD3633"/>
    <w:rsid w:val="3A0F354D"/>
    <w:rsid w:val="3A1A7360"/>
    <w:rsid w:val="3A247C6F"/>
    <w:rsid w:val="3A2D7D31"/>
    <w:rsid w:val="3A335FEE"/>
    <w:rsid w:val="3A34378D"/>
    <w:rsid w:val="3A5130DF"/>
    <w:rsid w:val="3A541CD3"/>
    <w:rsid w:val="3A612966"/>
    <w:rsid w:val="3A7E4E86"/>
    <w:rsid w:val="3A840F8D"/>
    <w:rsid w:val="3A895415"/>
    <w:rsid w:val="3A8E189D"/>
    <w:rsid w:val="3A904DA0"/>
    <w:rsid w:val="3A95734D"/>
    <w:rsid w:val="3A9B0BB2"/>
    <w:rsid w:val="3A9E5DDE"/>
    <w:rsid w:val="3AA23DC1"/>
    <w:rsid w:val="3AA42D59"/>
    <w:rsid w:val="3AC961FF"/>
    <w:rsid w:val="3AD1108C"/>
    <w:rsid w:val="3AD12B53"/>
    <w:rsid w:val="3ADF3C25"/>
    <w:rsid w:val="3AE17129"/>
    <w:rsid w:val="3AE657AF"/>
    <w:rsid w:val="3AE91AF1"/>
    <w:rsid w:val="3AEE2BBB"/>
    <w:rsid w:val="3AF86D4E"/>
    <w:rsid w:val="3B0D2CD2"/>
    <w:rsid w:val="3B201ED9"/>
    <w:rsid w:val="3B225C51"/>
    <w:rsid w:val="3B530501"/>
    <w:rsid w:val="3B5612E6"/>
    <w:rsid w:val="3B5847E9"/>
    <w:rsid w:val="3B651FE2"/>
    <w:rsid w:val="3B684A83"/>
    <w:rsid w:val="3B705713"/>
    <w:rsid w:val="3B7C1525"/>
    <w:rsid w:val="3B9A2FE6"/>
    <w:rsid w:val="3B9B1DDA"/>
    <w:rsid w:val="3BA5016B"/>
    <w:rsid w:val="3BAD0004"/>
    <w:rsid w:val="3BAD5578"/>
    <w:rsid w:val="3BB110C7"/>
    <w:rsid w:val="3BC06797"/>
    <w:rsid w:val="3BC33E98"/>
    <w:rsid w:val="3BC5299D"/>
    <w:rsid w:val="3BEC505C"/>
    <w:rsid w:val="3C09460C"/>
    <w:rsid w:val="3C0B5911"/>
    <w:rsid w:val="3C153CA2"/>
    <w:rsid w:val="3C2B6D87"/>
    <w:rsid w:val="3C332ADB"/>
    <w:rsid w:val="3C366AA8"/>
    <w:rsid w:val="3C3B065F"/>
    <w:rsid w:val="3C417FEA"/>
    <w:rsid w:val="3C4C4EB5"/>
    <w:rsid w:val="3C504D81"/>
    <w:rsid w:val="3C5103D6"/>
    <w:rsid w:val="3C587C0F"/>
    <w:rsid w:val="3C631823"/>
    <w:rsid w:val="3C670229"/>
    <w:rsid w:val="3C6E7BB4"/>
    <w:rsid w:val="3C7A5BC5"/>
    <w:rsid w:val="3C8610D6"/>
    <w:rsid w:val="3C8B38E1"/>
    <w:rsid w:val="3CA00003"/>
    <w:rsid w:val="3CA1311C"/>
    <w:rsid w:val="3CA4480B"/>
    <w:rsid w:val="3CB834AB"/>
    <w:rsid w:val="3CBA418D"/>
    <w:rsid w:val="3CBC193F"/>
    <w:rsid w:val="3CC14814"/>
    <w:rsid w:val="3CC325E7"/>
    <w:rsid w:val="3CD918D7"/>
    <w:rsid w:val="3CDD6B52"/>
    <w:rsid w:val="3CED7123"/>
    <w:rsid w:val="3CF60D92"/>
    <w:rsid w:val="3D057D27"/>
    <w:rsid w:val="3D0A7A32"/>
    <w:rsid w:val="3D10193C"/>
    <w:rsid w:val="3D153845"/>
    <w:rsid w:val="3D161CEF"/>
    <w:rsid w:val="3D2250D9"/>
    <w:rsid w:val="3D2C346A"/>
    <w:rsid w:val="3D2D0EEC"/>
    <w:rsid w:val="3D396C7C"/>
    <w:rsid w:val="3D454394"/>
    <w:rsid w:val="3D533E6E"/>
    <w:rsid w:val="3D6D53E4"/>
    <w:rsid w:val="3D733BDF"/>
    <w:rsid w:val="3D931F15"/>
    <w:rsid w:val="3D965098"/>
    <w:rsid w:val="3D993E1E"/>
    <w:rsid w:val="3DA35CDE"/>
    <w:rsid w:val="3DA70BB6"/>
    <w:rsid w:val="3DA962B7"/>
    <w:rsid w:val="3DAA4E1D"/>
    <w:rsid w:val="3DAE0540"/>
    <w:rsid w:val="3DAE5E5B"/>
    <w:rsid w:val="3DB35450"/>
    <w:rsid w:val="3DB5594D"/>
    <w:rsid w:val="3DB90AD0"/>
    <w:rsid w:val="3DC36E61"/>
    <w:rsid w:val="3DD03F78"/>
    <w:rsid w:val="3DED68F9"/>
    <w:rsid w:val="3DF60935"/>
    <w:rsid w:val="3DF64F0C"/>
    <w:rsid w:val="3E014747"/>
    <w:rsid w:val="3E05314D"/>
    <w:rsid w:val="3E186C77"/>
    <w:rsid w:val="3E212A7E"/>
    <w:rsid w:val="3E2171FA"/>
    <w:rsid w:val="3E374C21"/>
    <w:rsid w:val="3E3C10A9"/>
    <w:rsid w:val="3E413B9C"/>
    <w:rsid w:val="3E4463FC"/>
    <w:rsid w:val="3E454D5F"/>
    <w:rsid w:val="3E692E72"/>
    <w:rsid w:val="3E767F89"/>
    <w:rsid w:val="3E790F0E"/>
    <w:rsid w:val="3E8603A5"/>
    <w:rsid w:val="3E8E1DAD"/>
    <w:rsid w:val="3E8F6B39"/>
    <w:rsid w:val="3E9165B5"/>
    <w:rsid w:val="3E9C6B44"/>
    <w:rsid w:val="3E9F6BF0"/>
    <w:rsid w:val="3EBB51FB"/>
    <w:rsid w:val="3ED1739E"/>
    <w:rsid w:val="3EDB1EAC"/>
    <w:rsid w:val="3EDE0903"/>
    <w:rsid w:val="3EDF08B2"/>
    <w:rsid w:val="3EEF6792"/>
    <w:rsid w:val="3EF9145C"/>
    <w:rsid w:val="3EFB01E2"/>
    <w:rsid w:val="3EFB495F"/>
    <w:rsid w:val="3EFE6C82"/>
    <w:rsid w:val="3EFF6BE9"/>
    <w:rsid w:val="3F2147D8"/>
    <w:rsid w:val="3F2C09B1"/>
    <w:rsid w:val="3F2D6433"/>
    <w:rsid w:val="3F3B7B0D"/>
    <w:rsid w:val="3F3C5D07"/>
    <w:rsid w:val="3F422F4E"/>
    <w:rsid w:val="3F4263D8"/>
    <w:rsid w:val="3F577E93"/>
    <w:rsid w:val="3F61051B"/>
    <w:rsid w:val="3F6520B9"/>
    <w:rsid w:val="3F710F55"/>
    <w:rsid w:val="3F7701AC"/>
    <w:rsid w:val="3F7A6532"/>
    <w:rsid w:val="3F8B72DF"/>
    <w:rsid w:val="3F965E62"/>
    <w:rsid w:val="3F970EE3"/>
    <w:rsid w:val="3F9D57ED"/>
    <w:rsid w:val="3FA141F3"/>
    <w:rsid w:val="3FA54DF8"/>
    <w:rsid w:val="3FA76604"/>
    <w:rsid w:val="3FA81600"/>
    <w:rsid w:val="3FB07794"/>
    <w:rsid w:val="3FBD249F"/>
    <w:rsid w:val="3FBE399E"/>
    <w:rsid w:val="3FC03423"/>
    <w:rsid w:val="3FC72DAE"/>
    <w:rsid w:val="3FC76631"/>
    <w:rsid w:val="3FD60E4A"/>
    <w:rsid w:val="3FFC5807"/>
    <w:rsid w:val="3FFD6B0B"/>
    <w:rsid w:val="40084E9C"/>
    <w:rsid w:val="400973E0"/>
    <w:rsid w:val="400E7546"/>
    <w:rsid w:val="40103F30"/>
    <w:rsid w:val="4012322E"/>
    <w:rsid w:val="40173E32"/>
    <w:rsid w:val="401D732F"/>
    <w:rsid w:val="401F69E9"/>
    <w:rsid w:val="401F6CC0"/>
    <w:rsid w:val="40292E53"/>
    <w:rsid w:val="402A71F7"/>
    <w:rsid w:val="402B2AD3"/>
    <w:rsid w:val="402E3A57"/>
    <w:rsid w:val="4032245D"/>
    <w:rsid w:val="404339FD"/>
    <w:rsid w:val="405E2028"/>
    <w:rsid w:val="40667434"/>
    <w:rsid w:val="406820FA"/>
    <w:rsid w:val="408013E9"/>
    <w:rsid w:val="40817A0A"/>
    <w:rsid w:val="40861EE7"/>
    <w:rsid w:val="409841D3"/>
    <w:rsid w:val="40A13D96"/>
    <w:rsid w:val="40A37299"/>
    <w:rsid w:val="40CC5EDF"/>
    <w:rsid w:val="40E9418A"/>
    <w:rsid w:val="40EB11DB"/>
    <w:rsid w:val="40F07398"/>
    <w:rsid w:val="40F869A3"/>
    <w:rsid w:val="40FB31AB"/>
    <w:rsid w:val="40FE04AD"/>
    <w:rsid w:val="4119275B"/>
    <w:rsid w:val="41305C04"/>
    <w:rsid w:val="41336493"/>
    <w:rsid w:val="4141261B"/>
    <w:rsid w:val="41446E23"/>
    <w:rsid w:val="414C48A8"/>
    <w:rsid w:val="415F1CEE"/>
    <w:rsid w:val="417D3CEC"/>
    <w:rsid w:val="418F3A1F"/>
    <w:rsid w:val="419F3CB9"/>
    <w:rsid w:val="41A80C0E"/>
    <w:rsid w:val="41AA204A"/>
    <w:rsid w:val="41AD2FCF"/>
    <w:rsid w:val="41AE0A50"/>
    <w:rsid w:val="41B0748D"/>
    <w:rsid w:val="41C0096A"/>
    <w:rsid w:val="41C37371"/>
    <w:rsid w:val="41C602F5"/>
    <w:rsid w:val="41CA257F"/>
    <w:rsid w:val="421361F6"/>
    <w:rsid w:val="421A5B81"/>
    <w:rsid w:val="42254896"/>
    <w:rsid w:val="42301F23"/>
    <w:rsid w:val="42360B1F"/>
    <w:rsid w:val="4236486F"/>
    <w:rsid w:val="423A60B6"/>
    <w:rsid w:val="4249168F"/>
    <w:rsid w:val="424D4E5A"/>
    <w:rsid w:val="42515CDB"/>
    <w:rsid w:val="42554E2B"/>
    <w:rsid w:val="425E2DF2"/>
    <w:rsid w:val="42615D0B"/>
    <w:rsid w:val="42625F75"/>
    <w:rsid w:val="426A6C05"/>
    <w:rsid w:val="427F5525"/>
    <w:rsid w:val="428264AA"/>
    <w:rsid w:val="4284670E"/>
    <w:rsid w:val="42872C3E"/>
    <w:rsid w:val="428A4D93"/>
    <w:rsid w:val="428A713A"/>
    <w:rsid w:val="428D00BE"/>
    <w:rsid w:val="428D6DFB"/>
    <w:rsid w:val="42905890"/>
    <w:rsid w:val="42935AF8"/>
    <w:rsid w:val="42936744"/>
    <w:rsid w:val="429B010B"/>
    <w:rsid w:val="42A15AFD"/>
    <w:rsid w:val="42A16D5F"/>
    <w:rsid w:val="42A32262"/>
    <w:rsid w:val="42AE05F3"/>
    <w:rsid w:val="42B05D2D"/>
    <w:rsid w:val="42B45D29"/>
    <w:rsid w:val="42B86984"/>
    <w:rsid w:val="42C50218"/>
    <w:rsid w:val="42D178AE"/>
    <w:rsid w:val="42D2752E"/>
    <w:rsid w:val="42D34FAF"/>
    <w:rsid w:val="42D40833"/>
    <w:rsid w:val="42D65F34"/>
    <w:rsid w:val="42D96315"/>
    <w:rsid w:val="42ED5B59"/>
    <w:rsid w:val="42EE6E5E"/>
    <w:rsid w:val="42FE1677"/>
    <w:rsid w:val="43095161"/>
    <w:rsid w:val="430D0834"/>
    <w:rsid w:val="4311195E"/>
    <w:rsid w:val="432C4745"/>
    <w:rsid w:val="433078C8"/>
    <w:rsid w:val="43355DCC"/>
    <w:rsid w:val="434A0471"/>
    <w:rsid w:val="434E48F9"/>
    <w:rsid w:val="43557B07"/>
    <w:rsid w:val="43592C8A"/>
    <w:rsid w:val="435D1690"/>
    <w:rsid w:val="4363359A"/>
    <w:rsid w:val="43790FC1"/>
    <w:rsid w:val="43854DD3"/>
    <w:rsid w:val="4389125B"/>
    <w:rsid w:val="439E597D"/>
    <w:rsid w:val="43A06C82"/>
    <w:rsid w:val="43A47886"/>
    <w:rsid w:val="43AB7211"/>
    <w:rsid w:val="43B3461E"/>
    <w:rsid w:val="43B57B21"/>
    <w:rsid w:val="43B768A7"/>
    <w:rsid w:val="43B91DAA"/>
    <w:rsid w:val="43C875B2"/>
    <w:rsid w:val="43C92044"/>
    <w:rsid w:val="43CB5548"/>
    <w:rsid w:val="43CE2C49"/>
    <w:rsid w:val="43DB57E2"/>
    <w:rsid w:val="43E407C5"/>
    <w:rsid w:val="43F61C0F"/>
    <w:rsid w:val="43F87310"/>
    <w:rsid w:val="43FB3B18"/>
    <w:rsid w:val="44052933"/>
    <w:rsid w:val="44092E2E"/>
    <w:rsid w:val="44204C51"/>
    <w:rsid w:val="44220155"/>
    <w:rsid w:val="442A5561"/>
    <w:rsid w:val="442B3AB6"/>
    <w:rsid w:val="44440BF0"/>
    <w:rsid w:val="4444198E"/>
    <w:rsid w:val="44562E10"/>
    <w:rsid w:val="44621227"/>
    <w:rsid w:val="446366DB"/>
    <w:rsid w:val="44637395"/>
    <w:rsid w:val="446D72CF"/>
    <w:rsid w:val="447510D9"/>
    <w:rsid w:val="44757F5F"/>
    <w:rsid w:val="447A428F"/>
    <w:rsid w:val="447B303A"/>
    <w:rsid w:val="449C7E1E"/>
    <w:rsid w:val="449E1487"/>
    <w:rsid w:val="44B14540"/>
    <w:rsid w:val="44B454C5"/>
    <w:rsid w:val="44C2225C"/>
    <w:rsid w:val="44CF7374"/>
    <w:rsid w:val="44D66CFF"/>
    <w:rsid w:val="44DC2E06"/>
    <w:rsid w:val="44F4374E"/>
    <w:rsid w:val="44F55F2E"/>
    <w:rsid w:val="44F71432"/>
    <w:rsid w:val="44F77233"/>
    <w:rsid w:val="450042C0"/>
    <w:rsid w:val="45295484"/>
    <w:rsid w:val="452C1C8C"/>
    <w:rsid w:val="4530540F"/>
    <w:rsid w:val="45387C9D"/>
    <w:rsid w:val="45395FA0"/>
    <w:rsid w:val="453B44A5"/>
    <w:rsid w:val="453F2EAB"/>
    <w:rsid w:val="455375C0"/>
    <w:rsid w:val="455D245B"/>
    <w:rsid w:val="45845339"/>
    <w:rsid w:val="4586240A"/>
    <w:rsid w:val="459019B0"/>
    <w:rsid w:val="45927C41"/>
    <w:rsid w:val="459C79C1"/>
    <w:rsid w:val="459D5443"/>
    <w:rsid w:val="45AD34DF"/>
    <w:rsid w:val="45BB0276"/>
    <w:rsid w:val="45BD3779"/>
    <w:rsid w:val="45C45715"/>
    <w:rsid w:val="45C56387"/>
    <w:rsid w:val="45DB181E"/>
    <w:rsid w:val="45DC07AB"/>
    <w:rsid w:val="45F64BD8"/>
    <w:rsid w:val="460209EA"/>
    <w:rsid w:val="4603066A"/>
    <w:rsid w:val="460460EC"/>
    <w:rsid w:val="460B5A77"/>
    <w:rsid w:val="461F6313"/>
    <w:rsid w:val="462D72B0"/>
    <w:rsid w:val="463311B9"/>
    <w:rsid w:val="464239D2"/>
    <w:rsid w:val="464858DB"/>
    <w:rsid w:val="46487256"/>
    <w:rsid w:val="465700F4"/>
    <w:rsid w:val="465A48FC"/>
    <w:rsid w:val="465C457C"/>
    <w:rsid w:val="46606805"/>
    <w:rsid w:val="467341A1"/>
    <w:rsid w:val="468817F9"/>
    <w:rsid w:val="468C72C9"/>
    <w:rsid w:val="468D05CE"/>
    <w:rsid w:val="46BC589A"/>
    <w:rsid w:val="46BE0D9D"/>
    <w:rsid w:val="46C35225"/>
    <w:rsid w:val="46C6593B"/>
    <w:rsid w:val="46C73C2B"/>
    <w:rsid w:val="46CA4BB0"/>
    <w:rsid w:val="46CE6E39"/>
    <w:rsid w:val="46F224F1"/>
    <w:rsid w:val="46F25D74"/>
    <w:rsid w:val="46F41277"/>
    <w:rsid w:val="46FD241A"/>
    <w:rsid w:val="46FD6304"/>
    <w:rsid w:val="471517AC"/>
    <w:rsid w:val="47213040"/>
    <w:rsid w:val="47241DC7"/>
    <w:rsid w:val="472552CA"/>
    <w:rsid w:val="47262D4B"/>
    <w:rsid w:val="472707CD"/>
    <w:rsid w:val="4729044D"/>
    <w:rsid w:val="472E48D4"/>
    <w:rsid w:val="473142C2"/>
    <w:rsid w:val="47342061"/>
    <w:rsid w:val="473751E4"/>
    <w:rsid w:val="473A6169"/>
    <w:rsid w:val="474D22A8"/>
    <w:rsid w:val="474E78D3"/>
    <w:rsid w:val="474F288B"/>
    <w:rsid w:val="4752380F"/>
    <w:rsid w:val="4752477F"/>
    <w:rsid w:val="47562E2B"/>
    <w:rsid w:val="47580F9C"/>
    <w:rsid w:val="4768330B"/>
    <w:rsid w:val="478E5BF3"/>
    <w:rsid w:val="479F390E"/>
    <w:rsid w:val="47B63534"/>
    <w:rsid w:val="47B93D6C"/>
    <w:rsid w:val="47C91894"/>
    <w:rsid w:val="47CA56A6"/>
    <w:rsid w:val="47D25466"/>
    <w:rsid w:val="47D77BCB"/>
    <w:rsid w:val="47D90C75"/>
    <w:rsid w:val="47E87586"/>
    <w:rsid w:val="47F16838"/>
    <w:rsid w:val="47F77BA0"/>
    <w:rsid w:val="48035BB1"/>
    <w:rsid w:val="480510B4"/>
    <w:rsid w:val="48054938"/>
    <w:rsid w:val="480858BC"/>
    <w:rsid w:val="481203CA"/>
    <w:rsid w:val="48122A6F"/>
    <w:rsid w:val="48166DD0"/>
    <w:rsid w:val="4826706B"/>
    <w:rsid w:val="484D4D2C"/>
    <w:rsid w:val="48524A37"/>
    <w:rsid w:val="486139CD"/>
    <w:rsid w:val="486C55E1"/>
    <w:rsid w:val="487429ED"/>
    <w:rsid w:val="48872A13"/>
    <w:rsid w:val="4895689D"/>
    <w:rsid w:val="489C7E92"/>
    <w:rsid w:val="48A531BC"/>
    <w:rsid w:val="48CA7B79"/>
    <w:rsid w:val="48D12D87"/>
    <w:rsid w:val="48D46D2D"/>
    <w:rsid w:val="48D94910"/>
    <w:rsid w:val="48ED6E34"/>
    <w:rsid w:val="48F7756A"/>
    <w:rsid w:val="49092EE1"/>
    <w:rsid w:val="490D18E7"/>
    <w:rsid w:val="491969FE"/>
    <w:rsid w:val="49202B06"/>
    <w:rsid w:val="492E50F9"/>
    <w:rsid w:val="493C7EFA"/>
    <w:rsid w:val="493D1461"/>
    <w:rsid w:val="495010D7"/>
    <w:rsid w:val="49562FE0"/>
    <w:rsid w:val="49620FF1"/>
    <w:rsid w:val="497A4499"/>
    <w:rsid w:val="497D02A6"/>
    <w:rsid w:val="498D0F3C"/>
    <w:rsid w:val="498D56B8"/>
    <w:rsid w:val="499B244F"/>
    <w:rsid w:val="499D5953"/>
    <w:rsid w:val="49A63EF1"/>
    <w:rsid w:val="49AD5BED"/>
    <w:rsid w:val="49B45578"/>
    <w:rsid w:val="49BB0786"/>
    <w:rsid w:val="49C25263"/>
    <w:rsid w:val="49CA551D"/>
    <w:rsid w:val="49EB34D3"/>
    <w:rsid w:val="49F14827"/>
    <w:rsid w:val="49F3614D"/>
    <w:rsid w:val="4A0C2326"/>
    <w:rsid w:val="4A140E14"/>
    <w:rsid w:val="4A4009DF"/>
    <w:rsid w:val="4A431964"/>
    <w:rsid w:val="4A5166FB"/>
    <w:rsid w:val="4A5E747A"/>
    <w:rsid w:val="4A610F14"/>
    <w:rsid w:val="4A77693B"/>
    <w:rsid w:val="4A7E07E0"/>
    <w:rsid w:val="4A8401CF"/>
    <w:rsid w:val="4A8420B3"/>
    <w:rsid w:val="4AAC4D71"/>
    <w:rsid w:val="4AAF0017"/>
    <w:rsid w:val="4AB71F04"/>
    <w:rsid w:val="4ABA6E77"/>
    <w:rsid w:val="4AC3191E"/>
    <w:rsid w:val="4AD56CD4"/>
    <w:rsid w:val="4AD81E57"/>
    <w:rsid w:val="4AE301E8"/>
    <w:rsid w:val="4AFA3691"/>
    <w:rsid w:val="4B1010C1"/>
    <w:rsid w:val="4B1E03CD"/>
    <w:rsid w:val="4B215F25"/>
    <w:rsid w:val="4B257D58"/>
    <w:rsid w:val="4B3770D8"/>
    <w:rsid w:val="4B596F2D"/>
    <w:rsid w:val="4B5E7B32"/>
    <w:rsid w:val="4B614836"/>
    <w:rsid w:val="4B6452BE"/>
    <w:rsid w:val="4B837F34"/>
    <w:rsid w:val="4B881896"/>
    <w:rsid w:val="4B8C5AE1"/>
    <w:rsid w:val="4B935E0E"/>
    <w:rsid w:val="4B950C5B"/>
    <w:rsid w:val="4B970F90"/>
    <w:rsid w:val="4BB078CC"/>
    <w:rsid w:val="4BED77A1"/>
    <w:rsid w:val="4BF34D0E"/>
    <w:rsid w:val="4BF6482D"/>
    <w:rsid w:val="4BF650A9"/>
    <w:rsid w:val="4BFC6736"/>
    <w:rsid w:val="4BFF05CC"/>
    <w:rsid w:val="4C13635C"/>
    <w:rsid w:val="4C186067"/>
    <w:rsid w:val="4C1C11EA"/>
    <w:rsid w:val="4C2C4D07"/>
    <w:rsid w:val="4C2D76E6"/>
    <w:rsid w:val="4C39104D"/>
    <w:rsid w:val="4C5329C8"/>
    <w:rsid w:val="4C5D54D6"/>
    <w:rsid w:val="4C6373E0"/>
    <w:rsid w:val="4C694B6C"/>
    <w:rsid w:val="4C7605FF"/>
    <w:rsid w:val="4C792316"/>
    <w:rsid w:val="4C805FF5"/>
    <w:rsid w:val="4C904863"/>
    <w:rsid w:val="4CAB3057"/>
    <w:rsid w:val="4CB10147"/>
    <w:rsid w:val="4CBF0399"/>
    <w:rsid w:val="4CCA0782"/>
    <w:rsid w:val="4CD616FE"/>
    <w:rsid w:val="4CEC603F"/>
    <w:rsid w:val="4CFF2AE1"/>
    <w:rsid w:val="4D2607A2"/>
    <w:rsid w:val="4D2E5BAF"/>
    <w:rsid w:val="4D3B3165"/>
    <w:rsid w:val="4D4A1C5C"/>
    <w:rsid w:val="4D4B1BC4"/>
    <w:rsid w:val="4D4C2BE0"/>
    <w:rsid w:val="4D594475"/>
    <w:rsid w:val="4D5D2E7B"/>
    <w:rsid w:val="4D603DFF"/>
    <w:rsid w:val="4D6F2A8C"/>
    <w:rsid w:val="4D72759D"/>
    <w:rsid w:val="4DA13A89"/>
    <w:rsid w:val="4DA82DE6"/>
    <w:rsid w:val="4DAA5C11"/>
    <w:rsid w:val="4DB83818"/>
    <w:rsid w:val="4DB87D11"/>
    <w:rsid w:val="4DC4703C"/>
    <w:rsid w:val="4DCC556C"/>
    <w:rsid w:val="4DD56923"/>
    <w:rsid w:val="4DDA3761"/>
    <w:rsid w:val="4DDE46AF"/>
    <w:rsid w:val="4DE03454"/>
    <w:rsid w:val="4DE82A5F"/>
    <w:rsid w:val="4DF51A33"/>
    <w:rsid w:val="4DF6068D"/>
    <w:rsid w:val="4E057E10"/>
    <w:rsid w:val="4E19322E"/>
    <w:rsid w:val="4E1B6731"/>
    <w:rsid w:val="4E1C0E11"/>
    <w:rsid w:val="4E2373C0"/>
    <w:rsid w:val="4E3F2D9E"/>
    <w:rsid w:val="4E493D7D"/>
    <w:rsid w:val="4E4E4A55"/>
    <w:rsid w:val="4E50025A"/>
    <w:rsid w:val="4E586596"/>
    <w:rsid w:val="4E5C2D08"/>
    <w:rsid w:val="4E614CA7"/>
    <w:rsid w:val="4E7074C0"/>
    <w:rsid w:val="4E7500C4"/>
    <w:rsid w:val="4E766588"/>
    <w:rsid w:val="4E7E09D4"/>
    <w:rsid w:val="4E85035F"/>
    <w:rsid w:val="4E9A33E3"/>
    <w:rsid w:val="4EA13E1D"/>
    <w:rsid w:val="4ED31C5B"/>
    <w:rsid w:val="4EDB32EC"/>
    <w:rsid w:val="4EE90083"/>
    <w:rsid w:val="4EEE4370"/>
    <w:rsid w:val="4F080938"/>
    <w:rsid w:val="4F194537"/>
    <w:rsid w:val="4F1D75D8"/>
    <w:rsid w:val="4F213A60"/>
    <w:rsid w:val="4F251BA7"/>
    <w:rsid w:val="4F275616"/>
    <w:rsid w:val="4F375C04"/>
    <w:rsid w:val="4F383685"/>
    <w:rsid w:val="4F3A498A"/>
    <w:rsid w:val="4F427D16"/>
    <w:rsid w:val="4F442D1B"/>
    <w:rsid w:val="4F447498"/>
    <w:rsid w:val="4F5B752C"/>
    <w:rsid w:val="4F6A4FA1"/>
    <w:rsid w:val="4F6F15E1"/>
    <w:rsid w:val="4F7769ED"/>
    <w:rsid w:val="4F7B53F3"/>
    <w:rsid w:val="4F7D0431"/>
    <w:rsid w:val="4F8050FF"/>
    <w:rsid w:val="4F9714A0"/>
    <w:rsid w:val="4F974A08"/>
    <w:rsid w:val="4F9E0E2B"/>
    <w:rsid w:val="4FB045C9"/>
    <w:rsid w:val="4FDE4964"/>
    <w:rsid w:val="4FEF31B4"/>
    <w:rsid w:val="4FEF5721"/>
    <w:rsid w:val="4FFA6FC7"/>
    <w:rsid w:val="503A452D"/>
    <w:rsid w:val="503D54B2"/>
    <w:rsid w:val="505605DA"/>
    <w:rsid w:val="50641D98"/>
    <w:rsid w:val="50654DA7"/>
    <w:rsid w:val="506643DA"/>
    <w:rsid w:val="5073598C"/>
    <w:rsid w:val="5074560B"/>
    <w:rsid w:val="507A7515"/>
    <w:rsid w:val="507E5F1B"/>
    <w:rsid w:val="50804CA1"/>
    <w:rsid w:val="50827C54"/>
    <w:rsid w:val="50835C26"/>
    <w:rsid w:val="50891D2D"/>
    <w:rsid w:val="508A77AF"/>
    <w:rsid w:val="509500EF"/>
    <w:rsid w:val="509763E6"/>
    <w:rsid w:val="50A925E2"/>
    <w:rsid w:val="50B61CCD"/>
    <w:rsid w:val="50B96100"/>
    <w:rsid w:val="50BE6D04"/>
    <w:rsid w:val="50C222D5"/>
    <w:rsid w:val="50C26461"/>
    <w:rsid w:val="50C30C0E"/>
    <w:rsid w:val="50D25974"/>
    <w:rsid w:val="50E955CA"/>
    <w:rsid w:val="50FB388D"/>
    <w:rsid w:val="510A44DE"/>
    <w:rsid w:val="51291C37"/>
    <w:rsid w:val="512C2BBC"/>
    <w:rsid w:val="513E6359"/>
    <w:rsid w:val="514349DF"/>
    <w:rsid w:val="51453FF0"/>
    <w:rsid w:val="51827D47"/>
    <w:rsid w:val="51986B22"/>
    <w:rsid w:val="51BA7EA1"/>
    <w:rsid w:val="51BB25F2"/>
    <w:rsid w:val="51BC1315"/>
    <w:rsid w:val="51BD27F3"/>
    <w:rsid w:val="51C02EEF"/>
    <w:rsid w:val="51C74FB8"/>
    <w:rsid w:val="51D76EA3"/>
    <w:rsid w:val="51DF3D42"/>
    <w:rsid w:val="51E71376"/>
    <w:rsid w:val="51EF28F9"/>
    <w:rsid w:val="51F11680"/>
    <w:rsid w:val="520934A3"/>
    <w:rsid w:val="5219153F"/>
    <w:rsid w:val="52447860"/>
    <w:rsid w:val="5246001F"/>
    <w:rsid w:val="52555B21"/>
    <w:rsid w:val="526947C2"/>
    <w:rsid w:val="5272764F"/>
    <w:rsid w:val="52873C7D"/>
    <w:rsid w:val="5298097E"/>
    <w:rsid w:val="52A0271D"/>
    <w:rsid w:val="52B54C41"/>
    <w:rsid w:val="52D75A8D"/>
    <w:rsid w:val="52D970E6"/>
    <w:rsid w:val="52E3448B"/>
    <w:rsid w:val="52EF249C"/>
    <w:rsid w:val="52F34726"/>
    <w:rsid w:val="52F460A0"/>
    <w:rsid w:val="52F656AA"/>
    <w:rsid w:val="530A729F"/>
    <w:rsid w:val="530E2D51"/>
    <w:rsid w:val="531E0DED"/>
    <w:rsid w:val="531E68CD"/>
    <w:rsid w:val="532064EF"/>
    <w:rsid w:val="53213F70"/>
    <w:rsid w:val="532219F2"/>
    <w:rsid w:val="53246CC8"/>
    <w:rsid w:val="532E5804"/>
    <w:rsid w:val="53362C11"/>
    <w:rsid w:val="533B387E"/>
    <w:rsid w:val="535321C1"/>
    <w:rsid w:val="53563145"/>
    <w:rsid w:val="5357444A"/>
    <w:rsid w:val="536E65EE"/>
    <w:rsid w:val="537C6C08"/>
    <w:rsid w:val="538F08E3"/>
    <w:rsid w:val="538F45A4"/>
    <w:rsid w:val="53954B7D"/>
    <w:rsid w:val="539A2935"/>
    <w:rsid w:val="539F6DBD"/>
    <w:rsid w:val="53A00F7D"/>
    <w:rsid w:val="53A82F50"/>
    <w:rsid w:val="53B547E4"/>
    <w:rsid w:val="53D46C42"/>
    <w:rsid w:val="53D51A7E"/>
    <w:rsid w:val="53D625A2"/>
    <w:rsid w:val="53E0692D"/>
    <w:rsid w:val="53E45333"/>
    <w:rsid w:val="53E52DB4"/>
    <w:rsid w:val="53E60836"/>
    <w:rsid w:val="53E917BB"/>
    <w:rsid w:val="540720E2"/>
    <w:rsid w:val="54190C85"/>
    <w:rsid w:val="541D2F0E"/>
    <w:rsid w:val="54200610"/>
    <w:rsid w:val="54271C7C"/>
    <w:rsid w:val="5428129F"/>
    <w:rsid w:val="54281936"/>
    <w:rsid w:val="542A2224"/>
    <w:rsid w:val="542C1FE7"/>
    <w:rsid w:val="54333FD3"/>
    <w:rsid w:val="5443534C"/>
    <w:rsid w:val="54470848"/>
    <w:rsid w:val="54497256"/>
    <w:rsid w:val="54553068"/>
    <w:rsid w:val="545952F2"/>
    <w:rsid w:val="545C6AF1"/>
    <w:rsid w:val="546E6190"/>
    <w:rsid w:val="54863837"/>
    <w:rsid w:val="54901A26"/>
    <w:rsid w:val="54931E9F"/>
    <w:rsid w:val="549F3AD1"/>
    <w:rsid w:val="54A65400"/>
    <w:rsid w:val="54A92AF2"/>
    <w:rsid w:val="54B23402"/>
    <w:rsid w:val="54B54386"/>
    <w:rsid w:val="54DA32C1"/>
    <w:rsid w:val="54F372B3"/>
    <w:rsid w:val="54F476EE"/>
    <w:rsid w:val="5511121D"/>
    <w:rsid w:val="55160F28"/>
    <w:rsid w:val="552114B7"/>
    <w:rsid w:val="552A4345"/>
    <w:rsid w:val="552A7BC8"/>
    <w:rsid w:val="5537030C"/>
    <w:rsid w:val="55401D6C"/>
    <w:rsid w:val="5543746D"/>
    <w:rsid w:val="554A267C"/>
    <w:rsid w:val="554B6D60"/>
    <w:rsid w:val="554E6B03"/>
    <w:rsid w:val="55594E94"/>
    <w:rsid w:val="55721632"/>
    <w:rsid w:val="557B3752"/>
    <w:rsid w:val="55877F62"/>
    <w:rsid w:val="55964CF9"/>
    <w:rsid w:val="55974979"/>
    <w:rsid w:val="55990222"/>
    <w:rsid w:val="55A20321"/>
    <w:rsid w:val="55AC109B"/>
    <w:rsid w:val="55AC6E9D"/>
    <w:rsid w:val="55AE459E"/>
    <w:rsid w:val="55D75556"/>
    <w:rsid w:val="55E67F7B"/>
    <w:rsid w:val="55E77FD2"/>
    <w:rsid w:val="55FA4A1E"/>
    <w:rsid w:val="55FB6C1C"/>
    <w:rsid w:val="55FC469E"/>
    <w:rsid w:val="55FF2CC6"/>
    <w:rsid w:val="560704B0"/>
    <w:rsid w:val="56160ACB"/>
    <w:rsid w:val="561B4F52"/>
    <w:rsid w:val="562532E3"/>
    <w:rsid w:val="563147D2"/>
    <w:rsid w:val="56376A81"/>
    <w:rsid w:val="56412C14"/>
    <w:rsid w:val="564A004F"/>
    <w:rsid w:val="565250AC"/>
    <w:rsid w:val="566717CE"/>
    <w:rsid w:val="56687250"/>
    <w:rsid w:val="566B01D5"/>
    <w:rsid w:val="56743063"/>
    <w:rsid w:val="56774CA0"/>
    <w:rsid w:val="567C3CF2"/>
    <w:rsid w:val="569A32A2"/>
    <w:rsid w:val="56A41633"/>
    <w:rsid w:val="56AC7912"/>
    <w:rsid w:val="56B62190"/>
    <w:rsid w:val="56B957F3"/>
    <w:rsid w:val="56BB705A"/>
    <w:rsid w:val="56CE64DE"/>
    <w:rsid w:val="56E268EF"/>
    <w:rsid w:val="56E733A1"/>
    <w:rsid w:val="56FF12CE"/>
    <w:rsid w:val="570E3261"/>
    <w:rsid w:val="571921A6"/>
    <w:rsid w:val="574D2D46"/>
    <w:rsid w:val="57542330"/>
    <w:rsid w:val="576530DF"/>
    <w:rsid w:val="577F4077"/>
    <w:rsid w:val="57892BAB"/>
    <w:rsid w:val="57893706"/>
    <w:rsid w:val="57901258"/>
    <w:rsid w:val="57936875"/>
    <w:rsid w:val="579C1BCB"/>
    <w:rsid w:val="579D3A20"/>
    <w:rsid w:val="57B47272"/>
    <w:rsid w:val="57B57E25"/>
    <w:rsid w:val="57B66EF2"/>
    <w:rsid w:val="57C24009"/>
    <w:rsid w:val="57CA1054"/>
    <w:rsid w:val="57E0634B"/>
    <w:rsid w:val="57E532C4"/>
    <w:rsid w:val="57EE37E4"/>
    <w:rsid w:val="57F91B47"/>
    <w:rsid w:val="57FC7666"/>
    <w:rsid w:val="580018F0"/>
    <w:rsid w:val="58021570"/>
    <w:rsid w:val="58057745"/>
    <w:rsid w:val="5812180A"/>
    <w:rsid w:val="58132B0F"/>
    <w:rsid w:val="581F309E"/>
    <w:rsid w:val="58221AA4"/>
    <w:rsid w:val="582A2734"/>
    <w:rsid w:val="582C5C37"/>
    <w:rsid w:val="582F6BBC"/>
    <w:rsid w:val="5830463D"/>
    <w:rsid w:val="583D5ED1"/>
    <w:rsid w:val="58456B61"/>
    <w:rsid w:val="584B2C69"/>
    <w:rsid w:val="584C06EA"/>
    <w:rsid w:val="58514B72"/>
    <w:rsid w:val="585A3283"/>
    <w:rsid w:val="585D35D5"/>
    <w:rsid w:val="58737694"/>
    <w:rsid w:val="58837C48"/>
    <w:rsid w:val="588A3951"/>
    <w:rsid w:val="588B3A52"/>
    <w:rsid w:val="588C0756"/>
    <w:rsid w:val="588D5276"/>
    <w:rsid w:val="589752E6"/>
    <w:rsid w:val="58A06E90"/>
    <w:rsid w:val="58A23677"/>
    <w:rsid w:val="58AA0A84"/>
    <w:rsid w:val="58AF078F"/>
    <w:rsid w:val="58AF6DD5"/>
    <w:rsid w:val="58B0040F"/>
    <w:rsid w:val="58C3162E"/>
    <w:rsid w:val="58C85AB5"/>
    <w:rsid w:val="58CC0E8B"/>
    <w:rsid w:val="58D21C48"/>
    <w:rsid w:val="58DD6CD1"/>
    <w:rsid w:val="58E10BDE"/>
    <w:rsid w:val="58E31EE2"/>
    <w:rsid w:val="58EA3A6C"/>
    <w:rsid w:val="58EF3777"/>
    <w:rsid w:val="58F133F6"/>
    <w:rsid w:val="58FF3A11"/>
    <w:rsid w:val="59012F31"/>
    <w:rsid w:val="59155BB5"/>
    <w:rsid w:val="59163636"/>
    <w:rsid w:val="591C553F"/>
    <w:rsid w:val="59234ECA"/>
    <w:rsid w:val="593C7FF3"/>
    <w:rsid w:val="594069F9"/>
    <w:rsid w:val="59433201"/>
    <w:rsid w:val="59442E81"/>
    <w:rsid w:val="594E7013"/>
    <w:rsid w:val="59560B9C"/>
    <w:rsid w:val="5969563F"/>
    <w:rsid w:val="597936DB"/>
    <w:rsid w:val="598365A1"/>
    <w:rsid w:val="598A087B"/>
    <w:rsid w:val="598D237B"/>
    <w:rsid w:val="59951986"/>
    <w:rsid w:val="599C04BB"/>
    <w:rsid w:val="59AB192B"/>
    <w:rsid w:val="59B07FB1"/>
    <w:rsid w:val="59BD0749"/>
    <w:rsid w:val="59CD5363"/>
    <w:rsid w:val="59D9651C"/>
    <w:rsid w:val="59DF307F"/>
    <w:rsid w:val="59E3084A"/>
    <w:rsid w:val="59EE111B"/>
    <w:rsid w:val="59F27B21"/>
    <w:rsid w:val="59F477A1"/>
    <w:rsid w:val="5A050D40"/>
    <w:rsid w:val="5A057663"/>
    <w:rsid w:val="5A097746"/>
    <w:rsid w:val="5A153559"/>
    <w:rsid w:val="5A2E01D2"/>
    <w:rsid w:val="5A4675AB"/>
    <w:rsid w:val="5A4C14B5"/>
    <w:rsid w:val="5A561DC4"/>
    <w:rsid w:val="5A571431"/>
    <w:rsid w:val="5A72006F"/>
    <w:rsid w:val="5A7F7385"/>
    <w:rsid w:val="5A8831F2"/>
    <w:rsid w:val="5A933E27"/>
    <w:rsid w:val="5AB22ED2"/>
    <w:rsid w:val="5AB47146"/>
    <w:rsid w:val="5ABF6B4D"/>
    <w:rsid w:val="5AC05BF0"/>
    <w:rsid w:val="5AD05FAC"/>
    <w:rsid w:val="5AE83531"/>
    <w:rsid w:val="5AEE543B"/>
    <w:rsid w:val="5B15697F"/>
    <w:rsid w:val="5B204D10"/>
    <w:rsid w:val="5B2D07A3"/>
    <w:rsid w:val="5B386973"/>
    <w:rsid w:val="5B392037"/>
    <w:rsid w:val="5B5864C6"/>
    <w:rsid w:val="5B5C4D58"/>
    <w:rsid w:val="5B633E49"/>
    <w:rsid w:val="5B6B41D3"/>
    <w:rsid w:val="5B6F4A8F"/>
    <w:rsid w:val="5B7210C8"/>
    <w:rsid w:val="5B77791D"/>
    <w:rsid w:val="5B7B25C0"/>
    <w:rsid w:val="5B7F4C26"/>
    <w:rsid w:val="5B8027AB"/>
    <w:rsid w:val="5B8646B4"/>
    <w:rsid w:val="5BA34C1D"/>
    <w:rsid w:val="5BA629EB"/>
    <w:rsid w:val="5BAE5879"/>
    <w:rsid w:val="5BAF32FA"/>
    <w:rsid w:val="5BB74E83"/>
    <w:rsid w:val="5BCF5DAD"/>
    <w:rsid w:val="5BD75000"/>
    <w:rsid w:val="5BEE7F1E"/>
    <w:rsid w:val="5C021A80"/>
    <w:rsid w:val="5C083989"/>
    <w:rsid w:val="5C0D3694"/>
    <w:rsid w:val="5C1C6D0C"/>
    <w:rsid w:val="5C38410F"/>
    <w:rsid w:val="5C4202EB"/>
    <w:rsid w:val="5C436D8A"/>
    <w:rsid w:val="5C45126F"/>
    <w:rsid w:val="5C457071"/>
    <w:rsid w:val="5C4A56F7"/>
    <w:rsid w:val="5C6715FE"/>
    <w:rsid w:val="5C733038"/>
    <w:rsid w:val="5C7557DB"/>
    <w:rsid w:val="5C767840"/>
    <w:rsid w:val="5C7A6246"/>
    <w:rsid w:val="5C867ADA"/>
    <w:rsid w:val="5CAB4497"/>
    <w:rsid w:val="5CC03137"/>
    <w:rsid w:val="5CC453C1"/>
    <w:rsid w:val="5CC55041"/>
    <w:rsid w:val="5CCF43E2"/>
    <w:rsid w:val="5CD14553"/>
    <w:rsid w:val="5CD530DD"/>
    <w:rsid w:val="5CD765E0"/>
    <w:rsid w:val="5D042800"/>
    <w:rsid w:val="5D184E4B"/>
    <w:rsid w:val="5D1B313B"/>
    <w:rsid w:val="5D2F4A70"/>
    <w:rsid w:val="5D312171"/>
    <w:rsid w:val="5D395ABD"/>
    <w:rsid w:val="5D5A0338"/>
    <w:rsid w:val="5D671D9A"/>
    <w:rsid w:val="5D6E1FD6"/>
    <w:rsid w:val="5D7A5DE9"/>
    <w:rsid w:val="5D911291"/>
    <w:rsid w:val="5D9C7DED"/>
    <w:rsid w:val="5DA15CA9"/>
    <w:rsid w:val="5DA165AF"/>
    <w:rsid w:val="5DB95D49"/>
    <w:rsid w:val="5DB96BD3"/>
    <w:rsid w:val="5DBB20D6"/>
    <w:rsid w:val="5DC13FDF"/>
    <w:rsid w:val="5DD365A1"/>
    <w:rsid w:val="5DD632B4"/>
    <w:rsid w:val="5DD66AB8"/>
    <w:rsid w:val="5DD94F09"/>
    <w:rsid w:val="5DE27796"/>
    <w:rsid w:val="5E0324CA"/>
    <w:rsid w:val="5E107B72"/>
    <w:rsid w:val="5E115063"/>
    <w:rsid w:val="5E1636E9"/>
    <w:rsid w:val="5E230800"/>
    <w:rsid w:val="5E23751F"/>
    <w:rsid w:val="5E261785"/>
    <w:rsid w:val="5E4A64C2"/>
    <w:rsid w:val="5E4E3C88"/>
    <w:rsid w:val="5E51004B"/>
    <w:rsid w:val="5E5F2BE4"/>
    <w:rsid w:val="5E731884"/>
    <w:rsid w:val="5E766F86"/>
    <w:rsid w:val="5E7A2FA5"/>
    <w:rsid w:val="5E83409D"/>
    <w:rsid w:val="5E910B3F"/>
    <w:rsid w:val="5E9268B6"/>
    <w:rsid w:val="5E991597"/>
    <w:rsid w:val="5EA636EB"/>
    <w:rsid w:val="5EC919EC"/>
    <w:rsid w:val="5EC94811"/>
    <w:rsid w:val="5ED00919"/>
    <w:rsid w:val="5ED35121"/>
    <w:rsid w:val="5ED42BA2"/>
    <w:rsid w:val="5EDB1920"/>
    <w:rsid w:val="5EED5CCB"/>
    <w:rsid w:val="5EF06C4F"/>
    <w:rsid w:val="5EFA611E"/>
    <w:rsid w:val="5F0E6369"/>
    <w:rsid w:val="5F114C06"/>
    <w:rsid w:val="5F130109"/>
    <w:rsid w:val="5F145B8A"/>
    <w:rsid w:val="5F190DD1"/>
    <w:rsid w:val="5F1C36DE"/>
    <w:rsid w:val="5F295B30"/>
    <w:rsid w:val="5F2C3231"/>
    <w:rsid w:val="5F2D0CB2"/>
    <w:rsid w:val="5F375C1C"/>
    <w:rsid w:val="5F3A7FC8"/>
    <w:rsid w:val="5F3C34CB"/>
    <w:rsid w:val="5F467B8C"/>
    <w:rsid w:val="5F494D5F"/>
    <w:rsid w:val="5F4F1FDB"/>
    <w:rsid w:val="5F5226F9"/>
    <w:rsid w:val="5F523EBB"/>
    <w:rsid w:val="5F56415B"/>
    <w:rsid w:val="5F62370B"/>
    <w:rsid w:val="5F63118D"/>
    <w:rsid w:val="5F702A21"/>
    <w:rsid w:val="5F7239A5"/>
    <w:rsid w:val="5F75272C"/>
    <w:rsid w:val="5F835CB9"/>
    <w:rsid w:val="5F91425A"/>
    <w:rsid w:val="5FA03F79"/>
    <w:rsid w:val="5FA805FC"/>
    <w:rsid w:val="5FB777D3"/>
    <w:rsid w:val="5FB84D8F"/>
    <w:rsid w:val="5FBE682D"/>
    <w:rsid w:val="5FC86933"/>
    <w:rsid w:val="5FCB78B7"/>
    <w:rsid w:val="5FCC5339"/>
    <w:rsid w:val="5FCF62BD"/>
    <w:rsid w:val="5FD15044"/>
    <w:rsid w:val="5FE1785D"/>
    <w:rsid w:val="5FE34F5E"/>
    <w:rsid w:val="5FEA016C"/>
    <w:rsid w:val="5FED68B4"/>
    <w:rsid w:val="5FFA0406"/>
    <w:rsid w:val="5FFE462F"/>
    <w:rsid w:val="5FFF488E"/>
    <w:rsid w:val="60040D16"/>
    <w:rsid w:val="60057DF1"/>
    <w:rsid w:val="6012222A"/>
    <w:rsid w:val="6021580D"/>
    <w:rsid w:val="602E7E90"/>
    <w:rsid w:val="603852E0"/>
    <w:rsid w:val="603C75D2"/>
    <w:rsid w:val="605254B4"/>
    <w:rsid w:val="605E3702"/>
    <w:rsid w:val="60656807"/>
    <w:rsid w:val="60733548"/>
    <w:rsid w:val="607A6756"/>
    <w:rsid w:val="607B41D8"/>
    <w:rsid w:val="60A81824"/>
    <w:rsid w:val="60AE372D"/>
    <w:rsid w:val="60BD5F46"/>
    <w:rsid w:val="60CA19D8"/>
    <w:rsid w:val="60D34866"/>
    <w:rsid w:val="60D535ED"/>
    <w:rsid w:val="60D7326D"/>
    <w:rsid w:val="60DD2BF7"/>
    <w:rsid w:val="6107183D"/>
    <w:rsid w:val="61097D91"/>
    <w:rsid w:val="610C5DD6"/>
    <w:rsid w:val="61230A83"/>
    <w:rsid w:val="61262F13"/>
    <w:rsid w:val="612D61FA"/>
    <w:rsid w:val="613E7799"/>
    <w:rsid w:val="613F1997"/>
    <w:rsid w:val="614822A7"/>
    <w:rsid w:val="614A35AB"/>
    <w:rsid w:val="614A3DAA"/>
    <w:rsid w:val="616D4A65"/>
    <w:rsid w:val="617D2B01"/>
    <w:rsid w:val="619D3036"/>
    <w:rsid w:val="61A316BC"/>
    <w:rsid w:val="61AC203D"/>
    <w:rsid w:val="61AC454A"/>
    <w:rsid w:val="61C01E78"/>
    <w:rsid w:val="61C20126"/>
    <w:rsid w:val="61D75138"/>
    <w:rsid w:val="61DF7322"/>
    <w:rsid w:val="61E47F27"/>
    <w:rsid w:val="61E97C32"/>
    <w:rsid w:val="61EA2B18"/>
    <w:rsid w:val="622E70A1"/>
    <w:rsid w:val="62425D42"/>
    <w:rsid w:val="624C1ED5"/>
    <w:rsid w:val="625721D7"/>
    <w:rsid w:val="625C68EC"/>
    <w:rsid w:val="626165F7"/>
    <w:rsid w:val="626B0816"/>
    <w:rsid w:val="62731D94"/>
    <w:rsid w:val="627E48A2"/>
    <w:rsid w:val="629E2BD8"/>
    <w:rsid w:val="62A27060"/>
    <w:rsid w:val="62C04412"/>
    <w:rsid w:val="62D8753A"/>
    <w:rsid w:val="62E70A4E"/>
    <w:rsid w:val="62E73381"/>
    <w:rsid w:val="62EE098B"/>
    <w:rsid w:val="62F323C0"/>
    <w:rsid w:val="63095B0B"/>
    <w:rsid w:val="63121A5A"/>
    <w:rsid w:val="63150AD1"/>
    <w:rsid w:val="6317701F"/>
    <w:rsid w:val="63205730"/>
    <w:rsid w:val="63235063"/>
    <w:rsid w:val="633034AB"/>
    <w:rsid w:val="63387E58"/>
    <w:rsid w:val="633A04D8"/>
    <w:rsid w:val="634001E3"/>
    <w:rsid w:val="634A2CF1"/>
    <w:rsid w:val="634B0772"/>
    <w:rsid w:val="634F7B08"/>
    <w:rsid w:val="63541064"/>
    <w:rsid w:val="636C15BB"/>
    <w:rsid w:val="636C6F76"/>
    <w:rsid w:val="637209B5"/>
    <w:rsid w:val="637615BC"/>
    <w:rsid w:val="63793840"/>
    <w:rsid w:val="637B6D43"/>
    <w:rsid w:val="638D02E2"/>
    <w:rsid w:val="639839B5"/>
    <w:rsid w:val="639D46CF"/>
    <w:rsid w:val="63A9658E"/>
    <w:rsid w:val="63AA400F"/>
    <w:rsid w:val="63CC2EBD"/>
    <w:rsid w:val="63CD28DC"/>
    <w:rsid w:val="63D11CD0"/>
    <w:rsid w:val="63D8548A"/>
    <w:rsid w:val="63DE6DE8"/>
    <w:rsid w:val="63F151D7"/>
    <w:rsid w:val="63FD6018"/>
    <w:rsid w:val="64006F9C"/>
    <w:rsid w:val="64107237"/>
    <w:rsid w:val="64161140"/>
    <w:rsid w:val="64251709"/>
    <w:rsid w:val="642F2BD8"/>
    <w:rsid w:val="6441108B"/>
    <w:rsid w:val="64430863"/>
    <w:rsid w:val="64467711"/>
    <w:rsid w:val="64511325"/>
    <w:rsid w:val="646360E0"/>
    <w:rsid w:val="64680F4A"/>
    <w:rsid w:val="64746F5B"/>
    <w:rsid w:val="647B68E6"/>
    <w:rsid w:val="64847FC8"/>
    <w:rsid w:val="64976216"/>
    <w:rsid w:val="64985A50"/>
    <w:rsid w:val="649C5F21"/>
    <w:rsid w:val="649D011F"/>
    <w:rsid w:val="649F46C5"/>
    <w:rsid w:val="64A47AAA"/>
    <w:rsid w:val="64A5552C"/>
    <w:rsid w:val="64B472D0"/>
    <w:rsid w:val="64BB7203"/>
    <w:rsid w:val="64CC7B79"/>
    <w:rsid w:val="64D4607B"/>
    <w:rsid w:val="64D6157E"/>
    <w:rsid w:val="64D811FE"/>
    <w:rsid w:val="64DD0F09"/>
    <w:rsid w:val="64E47846"/>
    <w:rsid w:val="65220379"/>
    <w:rsid w:val="652470FF"/>
    <w:rsid w:val="652A5785"/>
    <w:rsid w:val="652D0269"/>
    <w:rsid w:val="652F768E"/>
    <w:rsid w:val="65332093"/>
    <w:rsid w:val="65385EEE"/>
    <w:rsid w:val="65457CE8"/>
    <w:rsid w:val="6569656F"/>
    <w:rsid w:val="656E29F6"/>
    <w:rsid w:val="65752381"/>
    <w:rsid w:val="657E0A92"/>
    <w:rsid w:val="6581062E"/>
    <w:rsid w:val="65811A17"/>
    <w:rsid w:val="658713A2"/>
    <w:rsid w:val="65942C36"/>
    <w:rsid w:val="659473B3"/>
    <w:rsid w:val="65954E34"/>
    <w:rsid w:val="65966139"/>
    <w:rsid w:val="65987759"/>
    <w:rsid w:val="65AD4482"/>
    <w:rsid w:val="65C76908"/>
    <w:rsid w:val="65CA788D"/>
    <w:rsid w:val="65CE6293"/>
    <w:rsid w:val="65E92340"/>
    <w:rsid w:val="65EB3645"/>
    <w:rsid w:val="65F870D7"/>
    <w:rsid w:val="65FE5BBC"/>
    <w:rsid w:val="663414BA"/>
    <w:rsid w:val="663933C4"/>
    <w:rsid w:val="663B5022"/>
    <w:rsid w:val="66433CD3"/>
    <w:rsid w:val="664F3369"/>
    <w:rsid w:val="6658247E"/>
    <w:rsid w:val="665C1287"/>
    <w:rsid w:val="666A0BEA"/>
    <w:rsid w:val="667679A5"/>
    <w:rsid w:val="6679092A"/>
    <w:rsid w:val="667941AD"/>
    <w:rsid w:val="66803B38"/>
    <w:rsid w:val="66894448"/>
    <w:rsid w:val="66957021"/>
    <w:rsid w:val="66B6744F"/>
    <w:rsid w:val="66B71A94"/>
    <w:rsid w:val="66BE141F"/>
    <w:rsid w:val="66D019CA"/>
    <w:rsid w:val="66E1089A"/>
    <w:rsid w:val="66E128D8"/>
    <w:rsid w:val="66E82263"/>
    <w:rsid w:val="66E97CE4"/>
    <w:rsid w:val="66EC250D"/>
    <w:rsid w:val="67061813"/>
    <w:rsid w:val="671734B5"/>
    <w:rsid w:val="671B1623"/>
    <w:rsid w:val="6731787F"/>
    <w:rsid w:val="67401089"/>
    <w:rsid w:val="674D64AE"/>
    <w:rsid w:val="674E0FD2"/>
    <w:rsid w:val="6750765B"/>
    <w:rsid w:val="67562897"/>
    <w:rsid w:val="675F4044"/>
    <w:rsid w:val="67685E09"/>
    <w:rsid w:val="676F1242"/>
    <w:rsid w:val="67787A9E"/>
    <w:rsid w:val="677A17D2"/>
    <w:rsid w:val="67973300"/>
    <w:rsid w:val="67CF1A4A"/>
    <w:rsid w:val="67D73213"/>
    <w:rsid w:val="67D740EA"/>
    <w:rsid w:val="67DB2AF0"/>
    <w:rsid w:val="67E027FB"/>
    <w:rsid w:val="67EC080C"/>
    <w:rsid w:val="67F10D19"/>
    <w:rsid w:val="680107B1"/>
    <w:rsid w:val="681A4419"/>
    <w:rsid w:val="68251C6A"/>
    <w:rsid w:val="68334803"/>
    <w:rsid w:val="68382E89"/>
    <w:rsid w:val="6838670D"/>
    <w:rsid w:val="6842701C"/>
    <w:rsid w:val="684C1B2A"/>
    <w:rsid w:val="685811C0"/>
    <w:rsid w:val="68784B6C"/>
    <w:rsid w:val="6889198F"/>
    <w:rsid w:val="68BC0EE4"/>
    <w:rsid w:val="68BF5CF0"/>
    <w:rsid w:val="68C214B5"/>
    <w:rsid w:val="68C34FEC"/>
    <w:rsid w:val="68CA23F8"/>
    <w:rsid w:val="68D038D9"/>
    <w:rsid w:val="68D30B09"/>
    <w:rsid w:val="68D61A8E"/>
    <w:rsid w:val="68D8170E"/>
    <w:rsid w:val="68F04EED"/>
    <w:rsid w:val="68FD3ECC"/>
    <w:rsid w:val="691A77E9"/>
    <w:rsid w:val="691C4781"/>
    <w:rsid w:val="692B53FA"/>
    <w:rsid w:val="692D6C1A"/>
    <w:rsid w:val="69351AA8"/>
    <w:rsid w:val="693E01B9"/>
    <w:rsid w:val="69426BBF"/>
    <w:rsid w:val="69475245"/>
    <w:rsid w:val="69556D7B"/>
    <w:rsid w:val="69775D94"/>
    <w:rsid w:val="69894DB5"/>
    <w:rsid w:val="698B4E5C"/>
    <w:rsid w:val="69927C43"/>
    <w:rsid w:val="69981115"/>
    <w:rsid w:val="699B4CCF"/>
    <w:rsid w:val="69A433E0"/>
    <w:rsid w:val="69A74365"/>
    <w:rsid w:val="69B562FC"/>
    <w:rsid w:val="69BB65F7"/>
    <w:rsid w:val="69C30412"/>
    <w:rsid w:val="69CC32A0"/>
    <w:rsid w:val="69D364AE"/>
    <w:rsid w:val="69D61631"/>
    <w:rsid w:val="69E057C4"/>
    <w:rsid w:val="69E52920"/>
    <w:rsid w:val="69E84DCE"/>
    <w:rsid w:val="69ED735F"/>
    <w:rsid w:val="69FB430A"/>
    <w:rsid w:val="6A1D56B2"/>
    <w:rsid w:val="6A3E7D5B"/>
    <w:rsid w:val="6A441C65"/>
    <w:rsid w:val="6A446B8F"/>
    <w:rsid w:val="6A4A3B6E"/>
    <w:rsid w:val="6A541EFF"/>
    <w:rsid w:val="6A584189"/>
    <w:rsid w:val="6A713A2E"/>
    <w:rsid w:val="6A956B0E"/>
    <w:rsid w:val="6A973C6D"/>
    <w:rsid w:val="6AA81989"/>
    <w:rsid w:val="6ABC062A"/>
    <w:rsid w:val="6AC60F39"/>
    <w:rsid w:val="6ACB0C44"/>
    <w:rsid w:val="6AD724A2"/>
    <w:rsid w:val="6ADF78E5"/>
    <w:rsid w:val="6AF6750A"/>
    <w:rsid w:val="6B0655A6"/>
    <w:rsid w:val="6B182D45"/>
    <w:rsid w:val="6B1B42E7"/>
    <w:rsid w:val="6B311CD8"/>
    <w:rsid w:val="6B443736"/>
    <w:rsid w:val="6B4E599A"/>
    <w:rsid w:val="6B726E54"/>
    <w:rsid w:val="6B8143A2"/>
    <w:rsid w:val="6B8A6259"/>
    <w:rsid w:val="6B8D2F01"/>
    <w:rsid w:val="6BA16563"/>
    <w:rsid w:val="6BA563A9"/>
    <w:rsid w:val="6BAD1237"/>
    <w:rsid w:val="6BC87862"/>
    <w:rsid w:val="6BD35BF3"/>
    <w:rsid w:val="6BDD1D86"/>
    <w:rsid w:val="6BFB1AB8"/>
    <w:rsid w:val="6BFF57BE"/>
    <w:rsid w:val="6C0C1250"/>
    <w:rsid w:val="6C130BDB"/>
    <w:rsid w:val="6C1B186B"/>
    <w:rsid w:val="6C247DB6"/>
    <w:rsid w:val="6C275900"/>
    <w:rsid w:val="6C303DC2"/>
    <w:rsid w:val="6C33740F"/>
    <w:rsid w:val="6C355C98"/>
    <w:rsid w:val="6C481435"/>
    <w:rsid w:val="6C4E0DC0"/>
    <w:rsid w:val="6C542CCA"/>
    <w:rsid w:val="6C5B2654"/>
    <w:rsid w:val="6C5D7D56"/>
    <w:rsid w:val="6C67530A"/>
    <w:rsid w:val="6C681E3D"/>
    <w:rsid w:val="6C733C09"/>
    <w:rsid w:val="6C741EF9"/>
    <w:rsid w:val="6C7B5108"/>
    <w:rsid w:val="6C807011"/>
    <w:rsid w:val="6C855934"/>
    <w:rsid w:val="6C8F3DA8"/>
    <w:rsid w:val="6C8F6948"/>
    <w:rsid w:val="6C972FCC"/>
    <w:rsid w:val="6CA24FC7"/>
    <w:rsid w:val="6CA43D4D"/>
    <w:rsid w:val="6CA86ED0"/>
    <w:rsid w:val="6CB42CAD"/>
    <w:rsid w:val="6CCC3665"/>
    <w:rsid w:val="6CD35796"/>
    <w:rsid w:val="6CD62D60"/>
    <w:rsid w:val="6CDA5121"/>
    <w:rsid w:val="6CF105C9"/>
    <w:rsid w:val="6CF4027D"/>
    <w:rsid w:val="6CF541FD"/>
    <w:rsid w:val="6CFE56E1"/>
    <w:rsid w:val="6D06020E"/>
    <w:rsid w:val="6D117466"/>
    <w:rsid w:val="6D147885"/>
    <w:rsid w:val="6D170809"/>
    <w:rsid w:val="6D275220"/>
    <w:rsid w:val="6D334139"/>
    <w:rsid w:val="6D3B3EC1"/>
    <w:rsid w:val="6D3D2C47"/>
    <w:rsid w:val="6D4D2544"/>
    <w:rsid w:val="6D52309B"/>
    <w:rsid w:val="6D534DEB"/>
    <w:rsid w:val="6D74531F"/>
    <w:rsid w:val="6D7D3A31"/>
    <w:rsid w:val="6D841E4C"/>
    <w:rsid w:val="6D85543F"/>
    <w:rsid w:val="6D871DC2"/>
    <w:rsid w:val="6D9C2C61"/>
    <w:rsid w:val="6DA0403A"/>
    <w:rsid w:val="6DA1296C"/>
    <w:rsid w:val="6DD156B9"/>
    <w:rsid w:val="6DD4663E"/>
    <w:rsid w:val="6DDD4597"/>
    <w:rsid w:val="6DDF49CF"/>
    <w:rsid w:val="6DE13755"/>
    <w:rsid w:val="6DE25953"/>
    <w:rsid w:val="6DF25BEE"/>
    <w:rsid w:val="6DF616C2"/>
    <w:rsid w:val="6DFA687D"/>
    <w:rsid w:val="6E023C8A"/>
    <w:rsid w:val="6E185E2D"/>
    <w:rsid w:val="6E28496A"/>
    <w:rsid w:val="6E442175"/>
    <w:rsid w:val="6E4A407E"/>
    <w:rsid w:val="6E4D0886"/>
    <w:rsid w:val="6E5E2D1F"/>
    <w:rsid w:val="6E6404AB"/>
    <w:rsid w:val="6E6A23B4"/>
    <w:rsid w:val="6E6C7AB6"/>
    <w:rsid w:val="6E9762AD"/>
    <w:rsid w:val="6E977A01"/>
    <w:rsid w:val="6E9E4088"/>
    <w:rsid w:val="6EA50F15"/>
    <w:rsid w:val="6EA94F41"/>
    <w:rsid w:val="6EB3022A"/>
    <w:rsid w:val="6EC539C8"/>
    <w:rsid w:val="6EDC6E70"/>
    <w:rsid w:val="6EE20EBC"/>
    <w:rsid w:val="6EF17BA2"/>
    <w:rsid w:val="6EFC61DE"/>
    <w:rsid w:val="6EFE06AA"/>
    <w:rsid w:val="6F015DAB"/>
    <w:rsid w:val="6F1277AF"/>
    <w:rsid w:val="6F165D50"/>
    <w:rsid w:val="6F1B6955"/>
    <w:rsid w:val="6F266D73"/>
    <w:rsid w:val="6F424616"/>
    <w:rsid w:val="6F460A9E"/>
    <w:rsid w:val="6F467459"/>
    <w:rsid w:val="6F4F27B2"/>
    <w:rsid w:val="6F5B6D86"/>
    <w:rsid w:val="6F5D06C3"/>
    <w:rsid w:val="6F753E6C"/>
    <w:rsid w:val="6F7C56F5"/>
    <w:rsid w:val="6F815400"/>
    <w:rsid w:val="6F822E81"/>
    <w:rsid w:val="6F865AA7"/>
    <w:rsid w:val="6F914B78"/>
    <w:rsid w:val="6FA662C5"/>
    <w:rsid w:val="6FCD40BA"/>
    <w:rsid w:val="6FD1741D"/>
    <w:rsid w:val="6FE9543A"/>
    <w:rsid w:val="6FEC75FF"/>
    <w:rsid w:val="6FF23135"/>
    <w:rsid w:val="6FFB1846"/>
    <w:rsid w:val="6FFC72C8"/>
    <w:rsid w:val="6FFD2EFC"/>
    <w:rsid w:val="700B625D"/>
    <w:rsid w:val="700E2A65"/>
    <w:rsid w:val="70105F68"/>
    <w:rsid w:val="702F0A1B"/>
    <w:rsid w:val="703716AB"/>
    <w:rsid w:val="704D384F"/>
    <w:rsid w:val="705B2B64"/>
    <w:rsid w:val="706011EA"/>
    <w:rsid w:val="706E2FF6"/>
    <w:rsid w:val="70700A18"/>
    <w:rsid w:val="70943FC3"/>
    <w:rsid w:val="709B394E"/>
    <w:rsid w:val="70CD3D9D"/>
    <w:rsid w:val="70CF2B23"/>
    <w:rsid w:val="70D80EDE"/>
    <w:rsid w:val="70EB3E10"/>
    <w:rsid w:val="71092E34"/>
    <w:rsid w:val="710C2988"/>
    <w:rsid w:val="711F0324"/>
    <w:rsid w:val="712D7639"/>
    <w:rsid w:val="714565E7"/>
    <w:rsid w:val="714B73B8"/>
    <w:rsid w:val="71637B14"/>
    <w:rsid w:val="716648EC"/>
    <w:rsid w:val="716A4F20"/>
    <w:rsid w:val="716F13A8"/>
    <w:rsid w:val="717148AB"/>
    <w:rsid w:val="71725BB0"/>
    <w:rsid w:val="71744A6E"/>
    <w:rsid w:val="717748C0"/>
    <w:rsid w:val="71787AB9"/>
    <w:rsid w:val="7188160E"/>
    <w:rsid w:val="719D2E85"/>
    <w:rsid w:val="71A061B0"/>
    <w:rsid w:val="71A22FE8"/>
    <w:rsid w:val="71A611E6"/>
    <w:rsid w:val="71AD7C63"/>
    <w:rsid w:val="71B5409B"/>
    <w:rsid w:val="71B76FF1"/>
    <w:rsid w:val="71C61DB6"/>
    <w:rsid w:val="71D545CF"/>
    <w:rsid w:val="71E75B6E"/>
    <w:rsid w:val="71F1067C"/>
    <w:rsid w:val="71F31C95"/>
    <w:rsid w:val="71FF3215"/>
    <w:rsid w:val="72026C0C"/>
    <w:rsid w:val="720E5A2E"/>
    <w:rsid w:val="721C3F61"/>
    <w:rsid w:val="72216C4D"/>
    <w:rsid w:val="72247BD2"/>
    <w:rsid w:val="723D0AFC"/>
    <w:rsid w:val="723F539A"/>
    <w:rsid w:val="7246140B"/>
    <w:rsid w:val="72477770"/>
    <w:rsid w:val="7248490E"/>
    <w:rsid w:val="724A645A"/>
    <w:rsid w:val="724B1BE2"/>
    <w:rsid w:val="72501D1B"/>
    <w:rsid w:val="72506497"/>
    <w:rsid w:val="725875C9"/>
    <w:rsid w:val="72601FB5"/>
    <w:rsid w:val="727B24F9"/>
    <w:rsid w:val="72827F6B"/>
    <w:rsid w:val="72874557"/>
    <w:rsid w:val="729D6597"/>
    <w:rsid w:val="72BB13CA"/>
    <w:rsid w:val="72C41CD9"/>
    <w:rsid w:val="72CD5623"/>
    <w:rsid w:val="72DF7E83"/>
    <w:rsid w:val="72E5220E"/>
    <w:rsid w:val="72FC56B6"/>
    <w:rsid w:val="73011B3E"/>
    <w:rsid w:val="7304755E"/>
    <w:rsid w:val="730A49CC"/>
    <w:rsid w:val="73142D5D"/>
    <w:rsid w:val="731C52D1"/>
    <w:rsid w:val="73252FF8"/>
    <w:rsid w:val="73262C77"/>
    <w:rsid w:val="73311008"/>
    <w:rsid w:val="733C24B1"/>
    <w:rsid w:val="73530456"/>
    <w:rsid w:val="737B0183"/>
    <w:rsid w:val="737C5C05"/>
    <w:rsid w:val="7383558F"/>
    <w:rsid w:val="738E71A4"/>
    <w:rsid w:val="7393582A"/>
    <w:rsid w:val="739D24A3"/>
    <w:rsid w:val="73A070BE"/>
    <w:rsid w:val="73A529F3"/>
    <w:rsid w:val="73AC41D5"/>
    <w:rsid w:val="73B02BDC"/>
    <w:rsid w:val="73BC078B"/>
    <w:rsid w:val="73CD7F8D"/>
    <w:rsid w:val="73D51B16"/>
    <w:rsid w:val="73D8631E"/>
    <w:rsid w:val="73DB3A20"/>
    <w:rsid w:val="73DC213A"/>
    <w:rsid w:val="73F5204B"/>
    <w:rsid w:val="740E5173"/>
    <w:rsid w:val="741F0C91"/>
    <w:rsid w:val="742873A2"/>
    <w:rsid w:val="743608B6"/>
    <w:rsid w:val="7438763D"/>
    <w:rsid w:val="744246C9"/>
    <w:rsid w:val="744743D4"/>
    <w:rsid w:val="74501460"/>
    <w:rsid w:val="74545AB5"/>
    <w:rsid w:val="745A4892"/>
    <w:rsid w:val="74754880"/>
    <w:rsid w:val="748E7040"/>
    <w:rsid w:val="749C3ADE"/>
    <w:rsid w:val="749F1AE5"/>
    <w:rsid w:val="74A521EF"/>
    <w:rsid w:val="74BF6E58"/>
    <w:rsid w:val="74C47221"/>
    <w:rsid w:val="74C72DEA"/>
    <w:rsid w:val="74CB0DAA"/>
    <w:rsid w:val="74D8788B"/>
    <w:rsid w:val="74F10FE9"/>
    <w:rsid w:val="7506570B"/>
    <w:rsid w:val="75117320"/>
    <w:rsid w:val="75123F8E"/>
    <w:rsid w:val="75124DA1"/>
    <w:rsid w:val="752601BF"/>
    <w:rsid w:val="75373CDC"/>
    <w:rsid w:val="75630023"/>
    <w:rsid w:val="757537C1"/>
    <w:rsid w:val="75892461"/>
    <w:rsid w:val="75932D71"/>
    <w:rsid w:val="759A5F7F"/>
    <w:rsid w:val="75A67813"/>
    <w:rsid w:val="75B90A32"/>
    <w:rsid w:val="75C003BD"/>
    <w:rsid w:val="75C8104D"/>
    <w:rsid w:val="75D724A4"/>
    <w:rsid w:val="75E21BF7"/>
    <w:rsid w:val="75E95CFE"/>
    <w:rsid w:val="760B4FB9"/>
    <w:rsid w:val="76170DCC"/>
    <w:rsid w:val="7637387F"/>
    <w:rsid w:val="76384B84"/>
    <w:rsid w:val="763D320A"/>
    <w:rsid w:val="764221A9"/>
    <w:rsid w:val="76435113"/>
    <w:rsid w:val="76442B95"/>
    <w:rsid w:val="7647739D"/>
    <w:rsid w:val="76571D1B"/>
    <w:rsid w:val="76617F46"/>
    <w:rsid w:val="76660B4B"/>
    <w:rsid w:val="766B0856"/>
    <w:rsid w:val="767336E4"/>
    <w:rsid w:val="767955ED"/>
    <w:rsid w:val="76866E81"/>
    <w:rsid w:val="768A2321"/>
    <w:rsid w:val="76912C94"/>
    <w:rsid w:val="769C0DE7"/>
    <w:rsid w:val="76AE0046"/>
    <w:rsid w:val="76CC2326"/>
    <w:rsid w:val="76D32234"/>
    <w:rsid w:val="76F93C9D"/>
    <w:rsid w:val="770313E3"/>
    <w:rsid w:val="77137D6A"/>
    <w:rsid w:val="77196A4F"/>
    <w:rsid w:val="77226D00"/>
    <w:rsid w:val="77247C84"/>
    <w:rsid w:val="77260F89"/>
    <w:rsid w:val="77563CD7"/>
    <w:rsid w:val="775904DE"/>
    <w:rsid w:val="775D10E3"/>
    <w:rsid w:val="77663F71"/>
    <w:rsid w:val="776D38FC"/>
    <w:rsid w:val="7775458B"/>
    <w:rsid w:val="7782001E"/>
    <w:rsid w:val="77920BA7"/>
    <w:rsid w:val="779260BA"/>
    <w:rsid w:val="77984950"/>
    <w:rsid w:val="77AA3761"/>
    <w:rsid w:val="77C51D8C"/>
    <w:rsid w:val="77CB7519"/>
    <w:rsid w:val="77CD4BBB"/>
    <w:rsid w:val="77E273A8"/>
    <w:rsid w:val="77E45A61"/>
    <w:rsid w:val="77FA69E3"/>
    <w:rsid w:val="77FD31EB"/>
    <w:rsid w:val="780A72F4"/>
    <w:rsid w:val="781A4D19"/>
    <w:rsid w:val="781D0274"/>
    <w:rsid w:val="782530AA"/>
    <w:rsid w:val="782D04B7"/>
    <w:rsid w:val="78337E41"/>
    <w:rsid w:val="78353345"/>
    <w:rsid w:val="783866CF"/>
    <w:rsid w:val="78397B5B"/>
    <w:rsid w:val="783D0751"/>
    <w:rsid w:val="783E7E0B"/>
    <w:rsid w:val="78497DE7"/>
    <w:rsid w:val="785206F6"/>
    <w:rsid w:val="785C5783"/>
    <w:rsid w:val="785E0C86"/>
    <w:rsid w:val="78674E18"/>
    <w:rsid w:val="7869031C"/>
    <w:rsid w:val="786E47A3"/>
    <w:rsid w:val="78704D38"/>
    <w:rsid w:val="7875412E"/>
    <w:rsid w:val="787C77B1"/>
    <w:rsid w:val="787E4A3E"/>
    <w:rsid w:val="789E5CA1"/>
    <w:rsid w:val="78AB0D85"/>
    <w:rsid w:val="78B9139F"/>
    <w:rsid w:val="78C054A7"/>
    <w:rsid w:val="78C43964"/>
    <w:rsid w:val="78D00FC5"/>
    <w:rsid w:val="78D31F49"/>
    <w:rsid w:val="78E468B1"/>
    <w:rsid w:val="78EF290F"/>
    <w:rsid w:val="79003D12"/>
    <w:rsid w:val="79017595"/>
    <w:rsid w:val="79132D33"/>
    <w:rsid w:val="791A48BC"/>
    <w:rsid w:val="79263F52"/>
    <w:rsid w:val="79327D64"/>
    <w:rsid w:val="793741EC"/>
    <w:rsid w:val="794E7C27"/>
    <w:rsid w:val="79587FA4"/>
    <w:rsid w:val="796572BA"/>
    <w:rsid w:val="79757554"/>
    <w:rsid w:val="79821562"/>
    <w:rsid w:val="79825532"/>
    <w:rsid w:val="79851D6D"/>
    <w:rsid w:val="799A58A3"/>
    <w:rsid w:val="79A522A2"/>
    <w:rsid w:val="79A750BF"/>
    <w:rsid w:val="79AA4E6F"/>
    <w:rsid w:val="79B1127A"/>
    <w:rsid w:val="79C70258"/>
    <w:rsid w:val="79CE7BE3"/>
    <w:rsid w:val="79D06969"/>
    <w:rsid w:val="79F26B1E"/>
    <w:rsid w:val="7A0F3ECF"/>
    <w:rsid w:val="7A1114DA"/>
    <w:rsid w:val="7A214D4A"/>
    <w:rsid w:val="7A2618F6"/>
    <w:rsid w:val="7A2C59FE"/>
    <w:rsid w:val="7A2E1B34"/>
    <w:rsid w:val="7A315709"/>
    <w:rsid w:val="7A34668D"/>
    <w:rsid w:val="7A3E5BF0"/>
    <w:rsid w:val="7A3E6F9D"/>
    <w:rsid w:val="7A446928"/>
    <w:rsid w:val="7A5358BD"/>
    <w:rsid w:val="7A630F6D"/>
    <w:rsid w:val="7A695863"/>
    <w:rsid w:val="7A712C6F"/>
    <w:rsid w:val="7A7D62A8"/>
    <w:rsid w:val="7A9D534C"/>
    <w:rsid w:val="7AA421C5"/>
    <w:rsid w:val="7AA66DD8"/>
    <w:rsid w:val="7AA73B38"/>
    <w:rsid w:val="7AAC0272"/>
    <w:rsid w:val="7ABE2599"/>
    <w:rsid w:val="7ACD165B"/>
    <w:rsid w:val="7ACE0981"/>
    <w:rsid w:val="7ACE7785"/>
    <w:rsid w:val="7AD264BB"/>
    <w:rsid w:val="7AE451AC"/>
    <w:rsid w:val="7AEA69AB"/>
    <w:rsid w:val="7AEC5358"/>
    <w:rsid w:val="7AF6674C"/>
    <w:rsid w:val="7B0475B6"/>
    <w:rsid w:val="7B09796A"/>
    <w:rsid w:val="7B0C08EF"/>
    <w:rsid w:val="7B1227F8"/>
    <w:rsid w:val="7B180593"/>
    <w:rsid w:val="7B2F3497"/>
    <w:rsid w:val="7B385861"/>
    <w:rsid w:val="7B4A03D4"/>
    <w:rsid w:val="7B5358E6"/>
    <w:rsid w:val="7B652283"/>
    <w:rsid w:val="7B6B418C"/>
    <w:rsid w:val="7B700614"/>
    <w:rsid w:val="7B7B0BA3"/>
    <w:rsid w:val="7B8158F9"/>
    <w:rsid w:val="7B8764C4"/>
    <w:rsid w:val="7B8F5645"/>
    <w:rsid w:val="7B9D23DC"/>
    <w:rsid w:val="7BA53B13"/>
    <w:rsid w:val="7BBB2386"/>
    <w:rsid w:val="7BC23E35"/>
    <w:rsid w:val="7BC57D1D"/>
    <w:rsid w:val="7BC86AA4"/>
    <w:rsid w:val="7BC96724"/>
    <w:rsid w:val="7BDB7CC3"/>
    <w:rsid w:val="7BDF7E15"/>
    <w:rsid w:val="7BE03D69"/>
    <w:rsid w:val="7BE077C1"/>
    <w:rsid w:val="7BE44D4F"/>
    <w:rsid w:val="7C1B2CA1"/>
    <w:rsid w:val="7C1F16B1"/>
    <w:rsid w:val="7C245B39"/>
    <w:rsid w:val="7C3A20F4"/>
    <w:rsid w:val="7C3E1F66"/>
    <w:rsid w:val="7C412EEA"/>
    <w:rsid w:val="7C416F47"/>
    <w:rsid w:val="7C4405EC"/>
    <w:rsid w:val="7C4D0EFB"/>
    <w:rsid w:val="7C8A156A"/>
    <w:rsid w:val="7CA14209"/>
    <w:rsid w:val="7CA4518D"/>
    <w:rsid w:val="7CAA7097"/>
    <w:rsid w:val="7CAF571D"/>
    <w:rsid w:val="7CB479A6"/>
    <w:rsid w:val="7CC51E3F"/>
    <w:rsid w:val="7CC962C6"/>
    <w:rsid w:val="7CCA3D48"/>
    <w:rsid w:val="7CD21154"/>
    <w:rsid w:val="7CE73678"/>
    <w:rsid w:val="7CE916F0"/>
    <w:rsid w:val="7CFD109F"/>
    <w:rsid w:val="7CFD581C"/>
    <w:rsid w:val="7CFE6B21"/>
    <w:rsid w:val="7D1818C9"/>
    <w:rsid w:val="7D204AD7"/>
    <w:rsid w:val="7D2E5FEB"/>
    <w:rsid w:val="7D5F203D"/>
    <w:rsid w:val="7D6F22D8"/>
    <w:rsid w:val="7D7E28F2"/>
    <w:rsid w:val="7D8950E1"/>
    <w:rsid w:val="7D90280C"/>
    <w:rsid w:val="7DA155EC"/>
    <w:rsid w:val="7DA174E8"/>
    <w:rsid w:val="7DAB5448"/>
    <w:rsid w:val="7DC16FFF"/>
    <w:rsid w:val="7DDF640D"/>
    <w:rsid w:val="7DE708B2"/>
    <w:rsid w:val="7E091A8D"/>
    <w:rsid w:val="7E243517"/>
    <w:rsid w:val="7E261E06"/>
    <w:rsid w:val="7E2C35D6"/>
    <w:rsid w:val="7E346B9D"/>
    <w:rsid w:val="7E3A287F"/>
    <w:rsid w:val="7E5512D0"/>
    <w:rsid w:val="7E597CD7"/>
    <w:rsid w:val="7E633E69"/>
    <w:rsid w:val="7E6A3164"/>
    <w:rsid w:val="7E6F7C7C"/>
    <w:rsid w:val="7E757607"/>
    <w:rsid w:val="7E7B1510"/>
    <w:rsid w:val="7E8D2AAF"/>
    <w:rsid w:val="7E90249F"/>
    <w:rsid w:val="7E9C1A45"/>
    <w:rsid w:val="7EA0044B"/>
    <w:rsid w:val="7EA73659"/>
    <w:rsid w:val="7EAF0297"/>
    <w:rsid w:val="7ED3279D"/>
    <w:rsid w:val="7ED45422"/>
    <w:rsid w:val="7F035F71"/>
    <w:rsid w:val="7F0A58FC"/>
    <w:rsid w:val="7F0B7AFA"/>
    <w:rsid w:val="7F0C0DFF"/>
    <w:rsid w:val="7F0E4302"/>
    <w:rsid w:val="7F2D41CA"/>
    <w:rsid w:val="7F2D52A7"/>
    <w:rsid w:val="7F2F7211"/>
    <w:rsid w:val="7F390CCD"/>
    <w:rsid w:val="7F425A56"/>
    <w:rsid w:val="7F4429F9"/>
    <w:rsid w:val="7F58120E"/>
    <w:rsid w:val="7F5D1B03"/>
    <w:rsid w:val="7F652792"/>
    <w:rsid w:val="7F6A3397"/>
    <w:rsid w:val="7F6D27E0"/>
    <w:rsid w:val="7F700B24"/>
    <w:rsid w:val="7F851719"/>
    <w:rsid w:val="7F8B38CC"/>
    <w:rsid w:val="7F951C5D"/>
    <w:rsid w:val="7F9E036E"/>
    <w:rsid w:val="7FA10933"/>
    <w:rsid w:val="7FB80F18"/>
    <w:rsid w:val="7FBB5720"/>
    <w:rsid w:val="7FBE2E21"/>
    <w:rsid w:val="7FED00ED"/>
    <w:rsid w:val="7FFB60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uiPriority w:val="0"/>
  </w:style>
  <w:style w:type="table" w:default="1" w:styleId="59">
    <w:name w:val="Normal Table"/>
    <w:semiHidden/>
    <w:uiPriority w:val="0"/>
    <w:tblPr>
      <w:tblStyle w:val="59"/>
      <w:tblCellMar>
        <w:top w:w="0" w:type="dxa"/>
        <w:left w:w="108" w:type="dxa"/>
        <w:bottom w:w="0" w:type="dxa"/>
        <w:right w:w="108" w:type="dxa"/>
      </w:tblCellMar>
    </w:tblPr>
  </w:style>
  <w:style w:type="paragraph" w:customStyle="1" w:styleId="2">
    <w:name w:val="正文1"/>
    <w:basedOn w:val="1"/>
    <w:next w:val="1"/>
    <w:uiPriority w:val="0"/>
    <w:pPr>
      <w:spacing w:line="300" w:lineRule="auto"/>
      <w:ind w:firstLine="200" w:firstLineChars="200"/>
    </w:pPr>
    <w:rPr>
      <w:sz w:val="24"/>
    </w:rPr>
  </w:style>
  <w:style w:type="paragraph" w:styleId="12">
    <w:name w:val="List 3"/>
    <w:basedOn w:val="1"/>
    <w:uiPriority w:val="0"/>
    <w:pPr>
      <w:adjustRightInd w:val="0"/>
      <w:snapToGrid w:val="0"/>
      <w:spacing w:line="360" w:lineRule="auto"/>
      <w:ind w:left="100" w:leftChars="400" w:hanging="200" w:hangingChars="200"/>
    </w:pPr>
    <w:rPr>
      <w:sz w:val="24"/>
    </w:rPr>
  </w:style>
  <w:style w:type="paragraph" w:styleId="13">
    <w:name w:val="toc 7"/>
    <w:basedOn w:val="1"/>
    <w:next w:val="1"/>
    <w:uiPriority w:val="0"/>
    <w:pPr>
      <w:ind w:left="2520" w:leftChars="1200"/>
    </w:pPr>
  </w:style>
  <w:style w:type="paragraph" w:styleId="14">
    <w:name w:val="List Number 2"/>
    <w:basedOn w:val="1"/>
    <w:uiPriority w:val="0"/>
    <w:pPr>
      <w:numPr>
        <w:ilvl w:val="0"/>
        <w:numId w:val="1"/>
      </w:numPr>
      <w:tabs>
        <w:tab w:val="left" w:pos="780"/>
        <w:tab w:val="clear" w:pos="425"/>
      </w:tabs>
      <w:spacing w:line="360" w:lineRule="auto"/>
    </w:pPr>
    <w:rPr>
      <w:sz w:val="24"/>
    </w:r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uiPriority w:val="0"/>
    <w:pPr>
      <w:shd w:val="clear" w:color="auto" w:fill="000080"/>
    </w:pPr>
  </w:style>
  <w:style w:type="paragraph" w:styleId="19">
    <w:name w:val="toa heading"/>
    <w:basedOn w:val="1"/>
    <w:next w:val="1"/>
    <w:uiPriority w:val="0"/>
    <w:pPr>
      <w:spacing w:before="120" w:beforeLines="0"/>
    </w:pPr>
    <w:rPr>
      <w:rFonts w:ascii="Arial" w:hAnsi="Arial"/>
      <w:sz w:val="24"/>
    </w:rPr>
  </w:style>
  <w:style w:type="paragraph" w:styleId="20">
    <w:name w:val="annotation text"/>
    <w:basedOn w:val="1"/>
    <w:link w:val="71"/>
    <w:uiPriority w:val="0"/>
    <w:pPr>
      <w:adjustRightInd w:val="0"/>
      <w:spacing w:line="360" w:lineRule="atLeast"/>
      <w:jc w:val="left"/>
      <w:textAlignment w:val="baseline"/>
    </w:pPr>
    <w:rPr>
      <w:kern w:val="0"/>
      <w:sz w:val="24"/>
    </w:rPr>
  </w:style>
  <w:style w:type="paragraph" w:styleId="21">
    <w:name w:val="Body Text 3"/>
    <w:basedOn w:val="1"/>
    <w:uiPriority w:val="0"/>
    <w:pPr>
      <w:adjustRightInd w:val="0"/>
      <w:snapToGrid w:val="0"/>
      <w:spacing w:after="120" w:afterLines="0" w:afterAutospacing="0" w:line="360" w:lineRule="auto"/>
    </w:pPr>
    <w:rPr>
      <w:sz w:val="16"/>
    </w:rPr>
  </w:style>
  <w:style w:type="paragraph" w:styleId="22">
    <w:name w:val="List Bullet 3"/>
    <w:basedOn w:val="1"/>
    <w:uiPriority w:val="0"/>
    <w:pPr>
      <w:numPr>
        <w:ilvl w:val="0"/>
        <w:numId w:val="3"/>
      </w:numPr>
      <w:adjustRightInd w:val="0"/>
      <w:snapToGrid w:val="0"/>
      <w:spacing w:line="360" w:lineRule="auto"/>
    </w:pPr>
    <w:rPr>
      <w:sz w:val="24"/>
    </w:rPr>
  </w:style>
  <w:style w:type="paragraph" w:styleId="23">
    <w:name w:val="Body Text"/>
    <w:basedOn w:val="1"/>
    <w:next w:val="1"/>
    <w:uiPriority w:val="0"/>
    <w:rPr>
      <w:rFonts w:ascii="仿宋_GB2312" w:eastAsia="仿宋_GB2312"/>
      <w:sz w:val="32"/>
    </w:rPr>
  </w:style>
  <w:style w:type="paragraph" w:styleId="24">
    <w:name w:val="Body Text Indent"/>
    <w:basedOn w:val="1"/>
    <w:link w:val="72"/>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uiPriority w:val="0"/>
    <w:pPr>
      <w:adjustRightInd w:val="0"/>
      <w:snapToGrid w:val="0"/>
      <w:spacing w:line="360" w:lineRule="auto"/>
      <w:ind w:left="100" w:leftChars="200" w:hanging="200" w:hangingChars="200"/>
    </w:pPr>
    <w:rPr>
      <w:sz w:val="24"/>
    </w:rPr>
  </w:style>
  <w:style w:type="paragraph" w:styleId="27">
    <w:name w:val="List Continue"/>
    <w:basedOn w:val="1"/>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39"/>
    <w:pPr>
      <w:ind w:left="840" w:leftChars="400"/>
    </w:pPr>
  </w:style>
  <w:style w:type="paragraph" w:styleId="31">
    <w:name w:val="Plain Text"/>
    <w:basedOn w:val="1"/>
    <w:link w:val="73"/>
    <w:uiPriority w:val="0"/>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4"/>
    <w:uiPriority w:val="0"/>
  </w:style>
  <w:style w:type="paragraph" w:styleId="34">
    <w:name w:val="Body Text Indent 2"/>
    <w:basedOn w:val="1"/>
    <w:link w:val="75"/>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39"/>
    <w:pPr>
      <w:spacing w:line="180" w:lineRule="auto"/>
      <w:jc w:val="center"/>
    </w:pPr>
    <w:rPr>
      <w:sz w:val="30"/>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6"/>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HTML Preformatted"/>
    <w:basedOn w:val="1"/>
    <w:qFormat/>
    <w:uiPriority w:val="0"/>
    <w:rPr>
      <w:rFonts w:ascii="Courier New" w:hAnsi="Courier New"/>
      <w:sz w:val="20"/>
      <w:szCs w:val="24"/>
    </w:rPr>
  </w:style>
  <w:style w:type="paragraph" w:styleId="5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uiPriority w:val="0"/>
    <w:pPr>
      <w:adjustRightInd w:val="0"/>
      <w:snapToGrid w:val="0"/>
      <w:spacing w:after="120" w:afterLines="0" w:afterAutospacing="0" w:line="360" w:lineRule="auto"/>
      <w:ind w:left="1260" w:leftChars="600"/>
    </w:pPr>
    <w:rPr>
      <w:sz w:val="24"/>
    </w:rPr>
  </w:style>
  <w:style w:type="paragraph" w:styleId="54">
    <w:name w:val="index 1"/>
    <w:basedOn w:val="1"/>
    <w:next w:val="1"/>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7"/>
    <w:uiPriority w:val="0"/>
    <w:pPr>
      <w:adjustRightInd/>
      <w:spacing w:line="240" w:lineRule="auto"/>
      <w:textAlignment w:val="auto"/>
    </w:pPr>
  </w:style>
  <w:style w:type="paragraph" w:styleId="57">
    <w:name w:val="Body Text First Indent"/>
    <w:basedOn w:val="23"/>
    <w:uiPriority w:val="0"/>
    <w:pPr>
      <w:spacing w:line="360" w:lineRule="auto"/>
      <w:ind w:firstLine="420"/>
    </w:pPr>
    <w:rPr>
      <w:rFonts w:ascii="宋体" w:hAnsi="宋体"/>
      <w:sz w:val="24"/>
    </w:rPr>
  </w:style>
  <w:style w:type="paragraph" w:styleId="58">
    <w:name w:val="Body Text First Indent 2"/>
    <w:basedOn w:val="24"/>
    <w:link w:val="78"/>
    <w:uiPriority w:val="0"/>
    <w:pPr>
      <w:spacing w:after="120" w:afterLines="0" w:line="240" w:lineRule="auto"/>
      <w:ind w:left="420" w:leftChars="200" w:firstLine="420" w:firstLineChars="200"/>
    </w:pPr>
  </w:style>
  <w:style w:type="table" w:styleId="60">
    <w:name w:val="Table Grid"/>
    <w:basedOn w:val="59"/>
    <w:qFormat/>
    <w:uiPriority w:val="59"/>
    <w:pPr>
      <w:widowControl w:val="0"/>
      <w:jc w:val="both"/>
    </w:pPr>
    <w:tblPr>
      <w:tblStyle w:val="5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qFormat/>
    <w:uiPriority w:val="22"/>
    <w:rPr>
      <w:b/>
    </w:rPr>
  </w:style>
  <w:style w:type="character" w:styleId="63">
    <w:name w:val="page number"/>
    <w:uiPriority w:val="0"/>
  </w:style>
  <w:style w:type="character" w:styleId="64">
    <w:name w:val="FollowedHyperlink"/>
    <w:uiPriority w:val="0"/>
    <w:rPr>
      <w:color w:val="800080"/>
      <w:u w:val="single"/>
    </w:rPr>
  </w:style>
  <w:style w:type="character" w:styleId="65">
    <w:name w:val="Emphasis"/>
    <w:qFormat/>
    <w:uiPriority w:val="0"/>
    <w:rPr>
      <w:i/>
    </w:rPr>
  </w:style>
  <w:style w:type="character" w:styleId="66">
    <w:name w:val="Hyperlink"/>
    <w:uiPriority w:val="99"/>
    <w:rPr>
      <w:color w:val="0000FF"/>
      <w:u w:val="single"/>
    </w:rPr>
  </w:style>
  <w:style w:type="character" w:styleId="67">
    <w:name w:val="annotation reference"/>
    <w:uiPriority w:val="0"/>
    <w:rPr>
      <w:sz w:val="21"/>
      <w:szCs w:val="21"/>
    </w:rPr>
  </w:style>
  <w:style w:type="character" w:styleId="68">
    <w:name w:val="footnote reference"/>
    <w:uiPriority w:val="0"/>
    <w:rPr>
      <w:position w:val="6"/>
      <w:sz w:val="14"/>
      <w:vertAlign w:val="superscript"/>
    </w:rPr>
  </w:style>
  <w:style w:type="character" w:customStyle="1" w:styleId="69">
    <w:name w:val="标题 2 Char"/>
    <w:link w:val="4"/>
    <w:uiPriority w:val="0"/>
    <w:rPr>
      <w:rFonts w:ascii="Arial" w:hAnsi="Arial" w:eastAsia="黑体"/>
      <w:b/>
      <w:kern w:val="2"/>
      <w:sz w:val="32"/>
    </w:rPr>
  </w:style>
  <w:style w:type="character" w:customStyle="1" w:styleId="70">
    <w:name w:val="标题 3 Char"/>
    <w:link w:val="5"/>
    <w:uiPriority w:val="0"/>
    <w:rPr>
      <w:rFonts w:eastAsia="宋体"/>
      <w:b/>
      <w:kern w:val="2"/>
      <w:sz w:val="32"/>
      <w:lang w:val="en-US" w:eastAsia="zh-CN"/>
    </w:rPr>
  </w:style>
  <w:style w:type="character" w:customStyle="1" w:styleId="71">
    <w:name w:val="批注文字 Char"/>
    <w:link w:val="20"/>
    <w:uiPriority w:val="0"/>
    <w:rPr>
      <w:sz w:val="24"/>
    </w:rPr>
  </w:style>
  <w:style w:type="character" w:customStyle="1" w:styleId="72">
    <w:name w:val="正文文本缩进 Char"/>
    <w:link w:val="24"/>
    <w:uiPriority w:val="0"/>
    <w:rPr>
      <w:kern w:val="2"/>
      <w:sz w:val="44"/>
    </w:rPr>
  </w:style>
  <w:style w:type="character" w:customStyle="1" w:styleId="73">
    <w:name w:val="纯文本 Char"/>
    <w:link w:val="31"/>
    <w:uiPriority w:val="0"/>
    <w:rPr>
      <w:rFonts w:ascii="宋体" w:hAnsi="Courier New"/>
      <w:kern w:val="2"/>
      <w:sz w:val="21"/>
    </w:rPr>
  </w:style>
  <w:style w:type="character" w:customStyle="1" w:styleId="74">
    <w:name w:val="日期 Char"/>
    <w:link w:val="33"/>
    <w:uiPriority w:val="0"/>
    <w:rPr>
      <w:kern w:val="2"/>
      <w:sz w:val="28"/>
    </w:rPr>
  </w:style>
  <w:style w:type="character" w:customStyle="1" w:styleId="75">
    <w:name w:val="正文文本缩进 2 Char"/>
    <w:link w:val="34"/>
    <w:uiPriority w:val="0"/>
    <w:rPr>
      <w:kern w:val="2"/>
      <w:sz w:val="28"/>
    </w:rPr>
  </w:style>
  <w:style w:type="character" w:customStyle="1" w:styleId="76">
    <w:name w:val="脚注文本 Char"/>
    <w:link w:val="41"/>
    <w:uiPriority w:val="0"/>
    <w:rPr>
      <w:kern w:val="2"/>
      <w:sz w:val="18"/>
    </w:rPr>
  </w:style>
  <w:style w:type="character" w:customStyle="1" w:styleId="77">
    <w:name w:val="批注主题 Char"/>
    <w:link w:val="56"/>
    <w:uiPriority w:val="0"/>
  </w:style>
  <w:style w:type="character" w:customStyle="1" w:styleId="78">
    <w:name w:val="正文首行缩进 2 Char"/>
    <w:link w:val="58"/>
    <w:uiPriority w:val="0"/>
  </w:style>
  <w:style w:type="character" w:customStyle="1" w:styleId="79">
    <w:name w:val=" Char Char5"/>
    <w:uiPriority w:val="0"/>
    <w:rPr>
      <w:rFonts w:ascii="Arial" w:hAnsi="Arial" w:eastAsia="宋体"/>
      <w:b/>
      <w:smallCaps/>
      <w:kern w:val="28"/>
      <w:sz w:val="36"/>
      <w:lang w:val="en-US" w:eastAsia="en-US"/>
    </w:rPr>
  </w:style>
  <w:style w:type="character" w:customStyle="1" w:styleId="80">
    <w:name w:val="font11"/>
    <w:basedOn w:val="61"/>
    <w:qFormat/>
    <w:uiPriority w:val="0"/>
    <w:rPr>
      <w:rFonts w:hint="default" w:ascii="Times New Roman" w:hAnsi="Times New Roman" w:cs="Times New Roman"/>
      <w:color w:val="000000"/>
      <w:sz w:val="24"/>
      <w:szCs w:val="24"/>
      <w:u w:val="none"/>
    </w:rPr>
  </w:style>
  <w:style w:type="character" w:customStyle="1" w:styleId="81">
    <w:name w:val="NormalCharacter"/>
    <w:semiHidden/>
    <w:qFormat/>
    <w:uiPriority w:val="0"/>
    <w:rPr>
      <w:kern w:val="2"/>
      <w:sz w:val="21"/>
      <w:szCs w:val="24"/>
      <w:lang w:val="en-US" w:eastAsia="zh-CN" w:bidi="ar-SA"/>
    </w:rPr>
  </w:style>
  <w:style w:type="character" w:customStyle="1" w:styleId="82">
    <w:name w:val="小 Char"/>
    <w:aliases w:val="表格文字 Char,普通文字 Char Char1"/>
    <w:uiPriority w:val="0"/>
    <w:rPr>
      <w:rFonts w:ascii="宋体" w:hAnsi="Courier New" w:eastAsia="宋体"/>
      <w:kern w:val="2"/>
      <w:sz w:val="21"/>
      <w:lang w:val="en-US" w:eastAsia="zh-CN" w:bidi="ar-SA"/>
    </w:rPr>
  </w:style>
  <w:style w:type="character" w:customStyle="1" w:styleId="83">
    <w:name w:val="v151"/>
    <w:uiPriority w:val="0"/>
    <w:rPr>
      <w:sz w:val="18"/>
    </w:rPr>
  </w:style>
  <w:style w:type="character" w:customStyle="1" w:styleId="84">
    <w:name w:val="top-det1"/>
    <w:uiPriority w:val="0"/>
    <w:rPr>
      <w:b/>
      <w:color w:val="000000"/>
    </w:rPr>
  </w:style>
  <w:style w:type="character" w:customStyle="1" w:styleId="85">
    <w:name w:val="Table Text Char Char Char Char"/>
    <w:link w:val="86"/>
    <w:uiPriority w:val="0"/>
    <w:rPr>
      <w:rFonts w:ascii="Arial" w:hAnsi="Arial"/>
      <w:kern w:val="2"/>
      <w:sz w:val="18"/>
      <w:lang w:val="en-US" w:eastAsia="zh-CN" w:bidi="ar-SA"/>
    </w:rPr>
  </w:style>
  <w:style w:type="paragraph" w:customStyle="1" w:styleId="86">
    <w:name w:val="Table Text Char Char Char"/>
    <w:link w:val="85"/>
    <w:uiPriority w:val="0"/>
    <w:pPr>
      <w:snapToGrid w:val="0"/>
      <w:spacing w:before="80" w:after="80"/>
    </w:pPr>
    <w:rPr>
      <w:rFonts w:ascii="Arial" w:hAnsi="Arial"/>
      <w:kern w:val="2"/>
      <w:sz w:val="18"/>
      <w:lang w:val="en-US" w:eastAsia="zh-CN" w:bidi="ar-SA"/>
    </w:rPr>
  </w:style>
  <w:style w:type="character" w:customStyle="1" w:styleId="87">
    <w:name w:val="标书正文:  0.74 厘米 Char1"/>
    <w:uiPriority w:val="0"/>
    <w:rPr>
      <w:rFonts w:eastAsia="宋体"/>
      <w:kern w:val="2"/>
      <w:sz w:val="24"/>
      <w:lang w:val="en-US" w:eastAsia="zh-CN"/>
    </w:rPr>
  </w:style>
  <w:style w:type="character" w:customStyle="1" w:styleId="88">
    <w:name w:val=" Char Char4"/>
    <w:uiPriority w:val="0"/>
    <w:rPr>
      <w:rFonts w:eastAsia="宋体"/>
      <w:b/>
      <w:kern w:val="2"/>
      <w:sz w:val="21"/>
      <w:lang w:val="en-US" w:eastAsia="zh-CN"/>
    </w:rPr>
  </w:style>
  <w:style w:type="character" w:customStyle="1" w:styleId="89">
    <w:name w:val=" Char Char"/>
    <w:uiPriority w:val="0"/>
    <w:rPr>
      <w:rFonts w:ascii="宋体" w:hAnsi="宋体" w:eastAsia="宋体"/>
      <w:kern w:val="2"/>
      <w:sz w:val="24"/>
      <w:lang w:val="en-US" w:eastAsia="zh-CN" w:bidi="ar-SA"/>
    </w:rPr>
  </w:style>
  <w:style w:type="character" w:customStyle="1" w:styleId="90">
    <w:name w:val="Table Heading Char Char"/>
    <w:uiPriority w:val="0"/>
    <w:rPr>
      <w:rFonts w:ascii="Arial" w:hAnsi="Arial" w:eastAsia="黑体"/>
      <w:kern w:val="2"/>
      <w:sz w:val="18"/>
      <w:lang w:val="en-US" w:eastAsia="zh-CN"/>
    </w:rPr>
  </w:style>
  <w:style w:type="character" w:customStyle="1" w:styleId="91">
    <w:name w:val="Table Text Char1 Char"/>
    <w:uiPriority w:val="0"/>
    <w:rPr>
      <w:rFonts w:ascii="Arial" w:hAnsi="Arial"/>
      <w:kern w:val="2"/>
      <w:sz w:val="18"/>
      <w:lang w:val="en-US" w:eastAsia="zh-CN" w:bidi="ar-SA"/>
    </w:rPr>
  </w:style>
  <w:style w:type="character" w:customStyle="1" w:styleId="92">
    <w:name w:val="未命名11"/>
    <w:uiPriority w:val="0"/>
    <w:rPr>
      <w:color w:val="77FFFF"/>
      <w:sz w:val="24"/>
    </w:rPr>
  </w:style>
  <w:style w:type="character" w:customStyle="1" w:styleId="93">
    <w:name w:val="title_emph1"/>
    <w:uiPriority w:val="0"/>
    <w:rPr>
      <w:rFonts w:hint="default" w:ascii="Arial" w:hAnsi="Arial"/>
      <w:b/>
      <w:sz w:val="20"/>
    </w:rPr>
  </w:style>
  <w:style w:type="character" w:customStyle="1" w:styleId="94">
    <w:name w:val=" Char Char3"/>
    <w:uiPriority w:val="0"/>
    <w:rPr>
      <w:rFonts w:eastAsia="宋体"/>
      <w:kern w:val="2"/>
      <w:sz w:val="18"/>
      <w:lang w:val="en-US" w:eastAsia="zh-CN"/>
    </w:rPr>
  </w:style>
  <w:style w:type="character" w:customStyle="1" w:styleId="95">
    <w:name w:val="crowed11"/>
    <w:uiPriority w:val="0"/>
    <w:rPr>
      <w:rFonts w:hint="default" w:ascii="_x000B__x000C_" w:hAnsi="_x000B__x000C_"/>
      <w:sz w:val="24"/>
    </w:rPr>
  </w:style>
  <w:style w:type="character" w:customStyle="1" w:styleId="96">
    <w:name w:val=" Char Char11"/>
    <w:uiPriority w:val="0"/>
    <w:rPr>
      <w:rFonts w:ascii="宋体"/>
      <w:kern w:val="2"/>
      <w:sz w:val="28"/>
    </w:rPr>
  </w:style>
  <w:style w:type="character" w:customStyle="1" w:styleId="97">
    <w:name w:val="样式 宋体"/>
    <w:uiPriority w:val="0"/>
    <w:rPr>
      <w:rFonts w:ascii="宋体" w:hAnsi="宋体" w:eastAsia="宋体"/>
      <w:sz w:val="28"/>
    </w:rPr>
  </w:style>
  <w:style w:type="character" w:customStyle="1" w:styleId="98">
    <w:name w:val="content-white1"/>
    <w:uiPriority w:val="0"/>
    <w:rPr>
      <w:rFonts w:ascii="_x000B__x000C_" w:hAnsi="_x000B__x000C_"/>
      <w:color w:val="auto"/>
      <w:sz w:val="18"/>
      <w:u w:val="none"/>
    </w:rPr>
  </w:style>
  <w:style w:type="character" w:customStyle="1" w:styleId="99">
    <w:name w:val=" Char Char6"/>
    <w:uiPriority w:val="0"/>
    <w:rPr>
      <w:rFonts w:ascii="仿宋_GB2312" w:eastAsia="仿宋_GB2312"/>
      <w:kern w:val="2"/>
      <w:sz w:val="32"/>
    </w:rPr>
  </w:style>
  <w:style w:type="character" w:customStyle="1" w:styleId="100">
    <w:name w:val="font31"/>
    <w:basedOn w:val="61"/>
    <w:qFormat/>
    <w:uiPriority w:val="0"/>
    <w:rPr>
      <w:rFonts w:hint="eastAsia" w:ascii="宋体" w:hAnsi="宋体" w:eastAsia="宋体" w:cs="宋体"/>
      <w:b/>
      <w:bCs/>
      <w:color w:val="000000"/>
      <w:sz w:val="24"/>
      <w:szCs w:val="24"/>
      <w:u w:val="none"/>
    </w:rPr>
  </w:style>
  <w:style w:type="character" w:customStyle="1" w:styleId="101">
    <w:name w:val="font1"/>
    <w:uiPriority w:val="0"/>
    <w:rPr>
      <w:color w:val="000000"/>
      <w:sz w:val="18"/>
    </w:rPr>
  </w:style>
  <w:style w:type="character" w:customStyle="1" w:styleId="102">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103">
    <w:name w:val="Table Text Char"/>
    <w:link w:val="104"/>
    <w:uiPriority w:val="0"/>
    <w:rPr>
      <w:rFonts w:ascii="Arial" w:hAnsi="Arial"/>
      <w:kern w:val="2"/>
      <w:sz w:val="18"/>
      <w:lang w:val="en-US" w:eastAsia="zh-CN" w:bidi="ar-SA"/>
    </w:rPr>
  </w:style>
  <w:style w:type="paragraph" w:customStyle="1" w:styleId="104">
    <w:name w:val="Table Text"/>
    <w:link w:val="103"/>
    <w:uiPriority w:val="0"/>
    <w:pPr>
      <w:snapToGrid w:val="0"/>
      <w:spacing w:before="80" w:after="80"/>
    </w:pPr>
    <w:rPr>
      <w:rFonts w:ascii="Arial" w:hAnsi="Arial"/>
      <w:kern w:val="2"/>
      <w:sz w:val="18"/>
      <w:lang w:val="en-US" w:eastAsia="zh-CN" w:bidi="ar-SA"/>
    </w:rPr>
  </w:style>
  <w:style w:type="character" w:customStyle="1" w:styleId="105">
    <w:name w:val=" Char Char2"/>
    <w:uiPriority w:val="0"/>
    <w:rPr>
      <w:rFonts w:eastAsia="宋体"/>
      <w:kern w:val="2"/>
      <w:sz w:val="18"/>
      <w:lang w:val="en-US" w:eastAsia="zh-CN"/>
    </w:rPr>
  </w:style>
  <w:style w:type="character" w:customStyle="1" w:styleId="106">
    <w:name w:val=" Char Char7"/>
    <w:uiPriority w:val="0"/>
    <w:rPr>
      <w:rFonts w:ascii="宋体" w:hAnsi="宋体" w:eastAsia="宋体"/>
      <w:kern w:val="2"/>
      <w:sz w:val="28"/>
    </w:rPr>
  </w:style>
  <w:style w:type="character" w:customStyle="1" w:styleId="107">
    <w:name w:val="文字 Char"/>
    <w:link w:val="108"/>
    <w:uiPriority w:val="0"/>
    <w:rPr>
      <w:rFonts w:ascii="宋体"/>
      <w:kern w:val="2"/>
      <w:sz w:val="28"/>
    </w:rPr>
  </w:style>
  <w:style w:type="paragraph" w:customStyle="1" w:styleId="108">
    <w:name w:val="文字"/>
    <w:basedOn w:val="1"/>
    <w:link w:val="107"/>
    <w:uiPriority w:val="0"/>
    <w:pPr>
      <w:tabs>
        <w:tab w:val="left" w:pos="8520"/>
      </w:tabs>
      <w:spacing w:line="312" w:lineRule="auto"/>
      <w:ind w:right="-210" w:firstLine="556"/>
    </w:pPr>
    <w:rPr>
      <w:rFonts w:ascii="宋体"/>
    </w:rPr>
  </w:style>
  <w:style w:type="character" w:customStyle="1" w:styleId="109">
    <w:name w:val="正文 + 三号 Char"/>
    <w:aliases w:val="加粗 Char"/>
    <w:uiPriority w:val="0"/>
    <w:rPr>
      <w:rFonts w:eastAsia="宋体"/>
      <w:kern w:val="2"/>
      <w:sz w:val="21"/>
      <w:lang w:val="en-US" w:eastAsia="zh-CN"/>
    </w:rPr>
  </w:style>
  <w:style w:type="character" w:customStyle="1" w:styleId="110">
    <w:name w:val="font21"/>
    <w:basedOn w:val="61"/>
    <w:qFormat/>
    <w:uiPriority w:val="0"/>
    <w:rPr>
      <w:rFonts w:hint="eastAsia" w:ascii="方正仿宋_GBK" w:hAnsi="方正仿宋_GBK" w:eastAsia="方正仿宋_GBK" w:cs="方正仿宋_GBK"/>
      <w:color w:val="000000"/>
      <w:sz w:val="24"/>
      <w:szCs w:val="24"/>
      <w:u w:val="none"/>
    </w:rPr>
  </w:style>
  <w:style w:type="paragraph" w:customStyle="1" w:styleId="111">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Table Text Char Char"/>
    <w:uiPriority w:val="0"/>
    <w:pPr>
      <w:snapToGrid w:val="0"/>
      <w:spacing w:before="80" w:after="80"/>
    </w:pPr>
    <w:rPr>
      <w:rFonts w:ascii="Arial" w:hAnsi="Arial"/>
      <w:kern w:val="2"/>
      <w:sz w:val="18"/>
      <w:lang w:val="en-US" w:eastAsia="zh-CN" w:bidi="ar-SA"/>
    </w:rPr>
  </w:style>
  <w:style w:type="paragraph" w:customStyle="1" w:styleId="113">
    <w:name w:val="司法正文"/>
    <w:uiPriority w:val="0"/>
    <w:pPr>
      <w:widowControl w:val="0"/>
      <w:ind w:firstLine="200" w:firstLineChars="200"/>
      <w:jc w:val="both"/>
    </w:pPr>
    <w:rPr>
      <w:rFonts w:eastAsia="仿宋_GB2312"/>
      <w:sz w:val="32"/>
      <w:lang w:val="en-US" w:eastAsia="zh-CN" w:bidi="ar-SA"/>
    </w:rPr>
  </w:style>
  <w:style w:type="paragraph" w:customStyle="1" w:styleId="114">
    <w:name w:val="样式 标题 1章标题Heading 0Section HeadPIM 1H1h11st levell11H1..."/>
    <w:basedOn w:val="3"/>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15">
    <w:name w:val="标书正文:  0.74 厘米"/>
    <w:basedOn w:val="1"/>
    <w:uiPriority w:val="0"/>
    <w:pPr>
      <w:snapToGrid w:val="0"/>
      <w:spacing w:line="360" w:lineRule="auto"/>
      <w:ind w:firstLine="420"/>
    </w:pPr>
    <w:rPr>
      <w:sz w:val="24"/>
    </w:rPr>
  </w:style>
  <w:style w:type="paragraph" w:customStyle="1" w:styleId="116">
    <w:name w:val="Title - Revision"/>
    <w:basedOn w:val="55"/>
    <w:uiPriority w:val="0"/>
    <w:pPr>
      <w:spacing w:before="720" w:beforeLines="0" w:beforeAutospacing="0"/>
    </w:pPr>
  </w:style>
  <w:style w:type="paragraph" w:customStyle="1" w:styleId="117">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8">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9">
    <w:name w:val="Title - Date"/>
    <w:basedOn w:val="55"/>
    <w:next w:val="1"/>
    <w:uiPriority w:val="0"/>
    <w:pPr>
      <w:spacing w:before="240" w:beforeLines="0" w:beforeAutospacing="0" w:after="720" w:afterLines="0" w:afterAutospacing="0"/>
    </w:pPr>
    <w:rPr>
      <w:sz w:val="28"/>
    </w:rPr>
  </w:style>
  <w:style w:type="paragraph" w:customStyle="1" w:styleId="120">
    <w:name w:val="表格正文"/>
    <w:basedOn w:val="1"/>
    <w:uiPriority w:val="0"/>
    <w:rPr>
      <w:rFonts w:ascii="Calibri" w:hAnsi="Calibri" w:eastAsia="仿宋" w:cs="宋体"/>
      <w:sz w:val="24"/>
    </w:rPr>
  </w:style>
  <w:style w:type="paragraph" w:customStyle="1" w:styleId="121">
    <w:name w:val="表头"/>
    <w:basedOn w:val="120"/>
    <w:uiPriority w:val="0"/>
    <w:pPr>
      <w:jc w:val="center"/>
    </w:pPr>
    <w:rPr>
      <w:b/>
      <w:bCs/>
    </w:rPr>
  </w:style>
  <w:style w:type="paragraph" w:styleId="122">
    <w:name w:val="List Paragraph"/>
    <w:basedOn w:val="1"/>
    <w:qFormat/>
    <w:uiPriority w:val="0"/>
    <w:pPr>
      <w:ind w:firstLine="420" w:firstLineChars="200"/>
    </w:pPr>
    <w:rPr>
      <w:rFonts w:ascii="Calibri" w:hAnsi="Calibri" w:eastAsia="宋体" w:cs="Times New Roman"/>
      <w:szCs w:val="22"/>
    </w:rPr>
  </w:style>
  <w:style w:type="paragraph" w:customStyle="1" w:styleId="123">
    <w:name w:val=" Char Char14 Char Char"/>
    <w:basedOn w:val="1"/>
    <w:uiPriority w:val="0"/>
    <w:rPr>
      <w:sz w:val="21"/>
      <w:szCs w:val="24"/>
    </w:rPr>
  </w:style>
  <w:style w:type="paragraph" w:customStyle="1" w:styleId="124">
    <w:name w:val="Style Heading 3h3Heading 3 - oldLevel 3 HeadH3level_3PIM 3se..."/>
    <w:basedOn w:val="5"/>
    <w:uiPriority w:val="0"/>
    <w:pPr>
      <w:numPr>
        <w:ilvl w:val="2"/>
        <w:numId w:val="2"/>
      </w:numPr>
      <w:tabs>
        <w:tab w:val="left" w:pos="709"/>
        <w:tab w:val="left" w:pos="1620"/>
      </w:tabs>
      <w:spacing w:line="413" w:lineRule="auto"/>
    </w:pPr>
  </w:style>
  <w:style w:type="paragraph" w:customStyle="1" w:styleId="125">
    <w:name w:val=" Char Char Char Char Char Char Char"/>
    <w:basedOn w:val="1"/>
    <w:uiPriority w:val="0"/>
    <w:rPr>
      <w:rFonts w:ascii="Tahoma" w:hAnsi="Tahoma"/>
      <w:sz w:val="24"/>
    </w:rPr>
  </w:style>
  <w:style w:type="paragraph" w:customStyle="1" w:styleId="126">
    <w:name w:val=" Char1 Char Char Char"/>
    <w:basedOn w:val="1"/>
    <w:uiPriority w:val="0"/>
    <w:rPr>
      <w:rFonts w:ascii="Tahoma" w:hAnsi="Tahoma"/>
      <w:sz w:val="24"/>
    </w:rPr>
  </w:style>
  <w:style w:type="paragraph" w:customStyle="1" w:styleId="127">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8">
    <w:name w:val=" Char1"/>
    <w:basedOn w:val="1"/>
    <w:uiPriority w:val="0"/>
    <w:rPr>
      <w:sz w:val="21"/>
    </w:rPr>
  </w:style>
  <w:style w:type="paragraph" w:customStyle="1" w:styleId="129">
    <w:name w:val="图片文字"/>
    <w:basedOn w:val="1"/>
    <w:uiPriority w:val="0"/>
    <w:pPr>
      <w:spacing w:line="240" w:lineRule="atLeast"/>
      <w:jc w:val="center"/>
    </w:pPr>
    <w:rPr>
      <w:sz w:val="21"/>
    </w:rPr>
  </w:style>
  <w:style w:type="paragraph" w:customStyle="1" w:styleId="130">
    <w:name w:val="Note"/>
    <w:basedOn w:val="1"/>
    <w:uiPriority w:val="0"/>
    <w:pPr>
      <w:pBdr>
        <w:top w:val="single" w:color="auto" w:sz="12" w:space="3"/>
        <w:bottom w:val="single" w:color="auto" w:sz="12" w:space="3"/>
      </w:pBdr>
      <w:spacing w:line="360" w:lineRule="auto"/>
    </w:pPr>
    <w:rPr>
      <w:sz w:val="24"/>
    </w:rPr>
  </w:style>
  <w:style w:type="paragraph" w:customStyle="1" w:styleId="131">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32">
    <w:name w:val="样式 标题 1 + 居中 段前: 6 磅 段后: 6 磅 行距: 1.5 倍行距"/>
    <w:basedOn w:val="3"/>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33">
    <w:name w:val="表格内文字"/>
    <w:basedOn w:val="31"/>
    <w:uiPriority w:val="0"/>
    <w:pPr>
      <w:adjustRightInd w:val="0"/>
    </w:pPr>
    <w:rPr>
      <w:color w:val="000000"/>
      <w:lang w:val="en-GB"/>
    </w:rPr>
  </w:style>
  <w:style w:type="paragraph" w:customStyle="1" w:styleId="134">
    <w:name w:val=" Char Char 字元 字元 字元 Char Char Char Char"/>
    <w:basedOn w:val="1"/>
    <w:uiPriority w:val="0"/>
    <w:pPr>
      <w:adjustRightInd w:val="0"/>
      <w:spacing w:line="360" w:lineRule="auto"/>
    </w:pPr>
    <w:rPr>
      <w:kern w:val="0"/>
      <w:sz w:val="24"/>
    </w:rPr>
  </w:style>
  <w:style w:type="paragraph" w:customStyle="1" w:styleId="135">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36">
    <w:name w:val="正文 + 三号"/>
    <w:basedOn w:val="1"/>
    <w:uiPriority w:val="0"/>
    <w:rPr>
      <w:sz w:val="21"/>
    </w:rPr>
  </w:style>
  <w:style w:type="paragraph" w:customStyle="1" w:styleId="137">
    <w:name w:val="_"/>
    <w:basedOn w:val="1"/>
    <w:uiPriority w:val="0"/>
    <w:pPr>
      <w:adjustRightInd w:val="0"/>
      <w:spacing w:line="360" w:lineRule="auto"/>
      <w:ind w:left="480" w:firstLine="200" w:firstLineChars="200"/>
      <w:textAlignment w:val="baseline"/>
    </w:pPr>
    <w:rPr>
      <w:kern w:val="0"/>
      <w:sz w:val="24"/>
    </w:rPr>
  </w:style>
  <w:style w:type="paragraph" w:customStyle="1" w:styleId="138">
    <w:name w:val="编号正文"/>
    <w:basedOn w:val="111"/>
    <w:uiPriority w:val="0"/>
    <w:pPr>
      <w:snapToGrid/>
      <w:spacing w:line="360" w:lineRule="auto"/>
      <w:ind w:left="1407" w:hanging="1047"/>
      <w:jc w:val="left"/>
    </w:pPr>
    <w:rPr>
      <w:rFonts w:eastAsia="仿宋_GB2312"/>
    </w:rPr>
  </w:style>
  <w:style w:type="paragraph" w:customStyle="1" w:styleId="139">
    <w:name w:val="首行缩进 1"/>
    <w:basedOn w:val="1"/>
    <w:uiPriority w:val="0"/>
    <w:pPr>
      <w:spacing w:after="120" w:afterLines="0" w:afterAutospacing="0" w:line="360" w:lineRule="auto"/>
      <w:ind w:firstLine="200" w:firstLineChars="200"/>
    </w:pPr>
    <w:rPr>
      <w:sz w:val="24"/>
    </w:rPr>
  </w:style>
  <w:style w:type="paragraph" w:customStyle="1" w:styleId="140">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141">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42">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143">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Char"/>
    <w:basedOn w:val="1"/>
    <w:uiPriority w:val="0"/>
    <w:pPr>
      <w:spacing w:line="240" w:lineRule="atLeast"/>
      <w:ind w:left="420" w:firstLine="420"/>
    </w:pPr>
    <w:rPr>
      <w:kern w:val="0"/>
      <w:sz w:val="21"/>
    </w:rPr>
  </w:style>
  <w:style w:type="paragraph" w:customStyle="1" w:styleId="145">
    <w:name w:val="表号"/>
    <w:basedOn w:val="1"/>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6">
    <w:name w:val="附录1"/>
    <w:basedOn w:val="1"/>
    <w:next w:val="1"/>
    <w:uiPriority w:val="0"/>
    <w:pPr>
      <w:tabs>
        <w:tab w:val="left" w:pos="1304"/>
      </w:tabs>
      <w:ind w:left="425" w:hanging="425"/>
      <w:outlineLvl w:val="0"/>
    </w:pPr>
    <w:rPr>
      <w:rFonts w:ascii="黑体" w:hAnsi="黑体" w:eastAsia="黑体"/>
      <w:b/>
      <w:sz w:val="44"/>
    </w:rPr>
  </w:style>
  <w:style w:type="paragraph" w:customStyle="1" w:styleId="147">
    <w:name w:val="首行缩进"/>
    <w:basedOn w:val="1"/>
    <w:uiPriority w:val="0"/>
    <w:pPr>
      <w:numPr>
        <w:ilvl w:val="0"/>
        <w:numId w:val="6"/>
      </w:numPr>
      <w:spacing w:line="360" w:lineRule="auto"/>
    </w:pPr>
    <w:rPr>
      <w:rFonts w:eastAsia="仿宋_GB2312"/>
    </w:rPr>
  </w:style>
  <w:style w:type="paragraph" w:customStyle="1" w:styleId="148">
    <w:name w:val="Table Contents"/>
    <w:basedOn w:val="23"/>
    <w:uiPriority w:val="0"/>
    <w:pPr>
      <w:suppressAutoHyphens/>
      <w:jc w:val="left"/>
    </w:pPr>
    <w:rPr>
      <w:rFonts w:ascii="Times New Roman" w:eastAsia="Times New Roman"/>
      <w:kern w:val="0"/>
      <w:sz w:val="24"/>
      <w:lang/>
    </w:rPr>
  </w:style>
  <w:style w:type="paragraph" w:customStyle="1" w:styleId="149">
    <w:name w:val="标题3——2"/>
    <w:basedOn w:val="5"/>
    <w:next w:val="57"/>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150">
    <w:name w:val="_Style 1"/>
    <w:basedOn w:val="1"/>
    <w:qFormat/>
    <w:uiPriority w:val="34"/>
    <w:pPr>
      <w:ind w:firstLine="420" w:firstLineChars="200"/>
    </w:pPr>
    <w:rPr>
      <w:rFonts w:ascii="Calibri" w:hAnsi="Calibri" w:eastAsia="宋体" w:cs="Times New Roman"/>
      <w:sz w:val="21"/>
      <w:szCs w:val="22"/>
    </w:rPr>
  </w:style>
  <w:style w:type="paragraph" w:styleId="151">
    <w:name w:val=""/>
    <w:uiPriority w:val="0"/>
    <w:rPr>
      <w:kern w:val="2"/>
      <w:sz w:val="21"/>
      <w:lang w:val="en-US" w:eastAsia="zh-CN" w:bidi="ar-SA"/>
    </w:rPr>
  </w:style>
  <w:style w:type="paragraph" w:customStyle="1" w:styleId="152">
    <w:name w:val="样式 首行缩进:  0.74 厘米"/>
    <w:basedOn w:val="1"/>
    <w:uiPriority w:val="0"/>
    <w:pPr>
      <w:spacing w:line="360" w:lineRule="auto"/>
      <w:ind w:firstLine="420"/>
    </w:pPr>
    <w:rPr>
      <w:sz w:val="24"/>
    </w:rPr>
  </w:style>
  <w:style w:type="paragraph" w:customStyle="1" w:styleId="153">
    <w:name w:val="表头样式"/>
    <w:basedOn w:val="1"/>
    <w:uiPriority w:val="0"/>
    <w:pPr>
      <w:autoSpaceDE w:val="0"/>
      <w:autoSpaceDN w:val="0"/>
      <w:adjustRightInd w:val="0"/>
      <w:spacing w:line="360" w:lineRule="auto"/>
      <w:jc w:val="left"/>
    </w:pPr>
    <w:rPr>
      <w:b/>
      <w:kern w:val="0"/>
      <w:sz w:val="21"/>
    </w:rPr>
  </w:style>
  <w:style w:type="paragraph" w:customStyle="1" w:styleId="154">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5">
    <w:name w:val="Table Text Char1"/>
    <w:uiPriority w:val="0"/>
    <w:pPr>
      <w:snapToGrid w:val="0"/>
      <w:spacing w:before="80" w:after="80"/>
    </w:pPr>
    <w:rPr>
      <w:rFonts w:ascii="Arial" w:hAnsi="Arial"/>
      <w:kern w:val="2"/>
      <w:sz w:val="18"/>
      <w:lang w:val="en-US" w:eastAsia="zh-CN" w:bidi="ar-SA"/>
    </w:rPr>
  </w:style>
  <w:style w:type="paragraph" w:customStyle="1" w:styleId="156">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157">
    <w:name w:val="Item Step in Table"/>
    <w:uiPriority w:val="0"/>
    <w:pPr>
      <w:numPr>
        <w:ilvl w:val="0"/>
        <w:numId w:val="7"/>
      </w:numPr>
      <w:tabs>
        <w:tab w:val="left" w:pos="397"/>
      </w:tabs>
      <w:spacing w:before="40" w:after="40"/>
      <w:jc w:val="both"/>
    </w:pPr>
    <w:rPr>
      <w:rFonts w:ascii="Arial" w:hAnsi="Arial"/>
      <w:sz w:val="18"/>
      <w:lang w:val="en-US" w:eastAsia="zh-CN" w:bidi="ar-SA"/>
    </w:rPr>
  </w:style>
  <w:style w:type="paragraph" w:customStyle="1" w:styleId="158">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纯文本1"/>
    <w:basedOn w:val="1"/>
    <w:qFormat/>
    <w:uiPriority w:val="0"/>
    <w:pPr>
      <w:snapToGrid w:val="0"/>
      <w:spacing w:line="360" w:lineRule="auto"/>
    </w:pPr>
    <w:rPr>
      <w:rFonts w:ascii="宋体" w:hAnsi="Courier New"/>
      <w:sz w:val="21"/>
    </w:rPr>
  </w:style>
  <w:style w:type="paragraph" w:customStyle="1" w:styleId="160">
    <w:name w:val="bt"/>
    <w:basedOn w:val="1"/>
    <w:next w:val="23"/>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61">
    <w:name w:val="00"/>
    <w:basedOn w:val="1"/>
    <w:uiPriority w:val="0"/>
    <w:pPr>
      <w:autoSpaceDE w:val="0"/>
      <w:autoSpaceDN w:val="0"/>
      <w:adjustRightInd w:val="0"/>
      <w:jc w:val="left"/>
    </w:pPr>
    <w:rPr>
      <w:rFonts w:ascii="黑体" w:eastAsia="黑体"/>
      <w:b/>
      <w:kern w:val="0"/>
      <w:sz w:val="20"/>
    </w:rPr>
  </w:style>
  <w:style w:type="paragraph" w:customStyle="1" w:styleId="162">
    <w:name w:val="Body Text Indent 2"/>
    <w:basedOn w:val="1"/>
    <w:uiPriority w:val="0"/>
    <w:pPr>
      <w:adjustRightInd w:val="0"/>
      <w:spacing w:before="120" w:beforeLines="0" w:beforeAutospacing="0"/>
      <w:ind w:firstLine="420"/>
      <w:textAlignment w:val="baseline"/>
    </w:pPr>
    <w:rPr>
      <w:sz w:val="24"/>
    </w:rPr>
  </w:style>
  <w:style w:type="paragraph" w:customStyle="1" w:styleId="163">
    <w:name w:val=" Char Char Char Char Char Char Char Char Char Char Char Char Char Char Char Char"/>
    <w:basedOn w:val="1"/>
    <w:uiPriority w:val="0"/>
    <w:pPr>
      <w:tabs>
        <w:tab w:val="left" w:pos="360"/>
      </w:tabs>
    </w:pPr>
    <w:rPr>
      <w:sz w:val="24"/>
    </w:rPr>
  </w:style>
  <w:style w:type="paragraph" w:customStyle="1" w:styleId="164">
    <w:name w:val="二级条标题"/>
    <w:basedOn w:val="165"/>
    <w:next w:val="167"/>
    <w:uiPriority w:val="0"/>
    <w:pPr>
      <w:ind w:left="840"/>
      <w:outlineLvl w:val="3"/>
    </w:pPr>
  </w:style>
  <w:style w:type="paragraph" w:customStyle="1" w:styleId="165">
    <w:name w:val="一级条标题"/>
    <w:basedOn w:val="166"/>
    <w:next w:val="167"/>
    <w:uiPriority w:val="0"/>
    <w:pPr>
      <w:numPr>
        <w:ilvl w:val="1"/>
        <w:numId w:val="0"/>
      </w:numPr>
      <w:spacing w:before="0" w:beforeLines="0" w:beforeAutospacing="0" w:after="0" w:afterLines="0" w:afterAutospacing="0"/>
      <w:ind w:left="525"/>
      <w:outlineLvl w:val="2"/>
    </w:pPr>
    <w:rPr>
      <w:sz w:val="21"/>
    </w:rPr>
  </w:style>
  <w:style w:type="paragraph" w:customStyle="1" w:styleId="166">
    <w:name w:val="章标题"/>
    <w:next w:val="1"/>
    <w:uiPriority w:val="0"/>
    <w:pPr>
      <w:numPr>
        <w:ilvl w:val="1"/>
        <w:numId w:val="7"/>
      </w:numPr>
      <w:spacing w:before="156" w:beforeLines="50" w:after="156" w:afterLines="50"/>
      <w:ind w:left="0"/>
      <w:jc w:val="both"/>
      <w:outlineLvl w:val="1"/>
    </w:pPr>
    <w:rPr>
      <w:rFonts w:ascii="黑体" w:eastAsia="黑体"/>
      <w:sz w:val="24"/>
      <w:lang w:val="en-US" w:eastAsia="zh-CN" w:bidi="ar-SA"/>
    </w:rPr>
  </w:style>
  <w:style w:type="paragraph" w:customStyle="1" w:styleId="167">
    <w:name w:val="段"/>
    <w:uiPriority w:val="0"/>
    <w:pPr>
      <w:autoSpaceDE w:val="0"/>
      <w:autoSpaceDN w:val="0"/>
      <w:ind w:firstLine="200" w:firstLineChars="200"/>
      <w:jc w:val="both"/>
    </w:pPr>
    <w:rPr>
      <w:rFonts w:ascii="宋体"/>
      <w:sz w:val="21"/>
      <w:lang w:val="en-US" w:eastAsia="zh-CN" w:bidi="ar-SA"/>
    </w:rPr>
  </w:style>
  <w:style w:type="paragraph" w:customStyle="1" w:styleId="168">
    <w:name w:val="可研正文"/>
    <w:basedOn w:val="23"/>
    <w:uiPriority w:val="0"/>
    <w:pPr>
      <w:adjustRightInd w:val="0"/>
      <w:snapToGrid w:val="0"/>
      <w:spacing w:line="440" w:lineRule="exact"/>
      <w:ind w:firstLine="567"/>
    </w:pPr>
    <w:rPr>
      <w:sz w:val="28"/>
    </w:rPr>
  </w:style>
  <w:style w:type="paragraph" w:customStyle="1" w:styleId="169">
    <w:name w:val="默认段落字体 Para Char Char Char Char Char Char Char Char Char1 Char Char Char Char"/>
    <w:basedOn w:val="1"/>
    <w:uiPriority w:val="0"/>
    <w:rPr>
      <w:rFonts w:ascii="Tahoma" w:hAnsi="Tahoma"/>
      <w:sz w:val="24"/>
    </w:rPr>
  </w:style>
  <w:style w:type="paragraph" w:customStyle="1" w:styleId="170">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71">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172">
    <w:name w:val="样式 宋体 五号 行距: 单倍行距"/>
    <w:basedOn w:val="1"/>
    <w:uiPriority w:val="0"/>
    <w:pPr>
      <w:adjustRightInd w:val="0"/>
      <w:jc w:val="left"/>
    </w:pPr>
    <w:rPr>
      <w:rFonts w:ascii="宋体" w:hAnsi="宋体"/>
      <w:kern w:val="0"/>
      <w:sz w:val="21"/>
    </w:rPr>
  </w:style>
  <w:style w:type="paragraph" w:customStyle="1" w:styleId="173">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174">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75">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6">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177">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78">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79">
    <w:name w:val="表格文本"/>
    <w:uiPriority w:val="0"/>
    <w:pPr>
      <w:tabs>
        <w:tab w:val="decimal" w:pos="0"/>
      </w:tabs>
    </w:pPr>
    <w:rPr>
      <w:rFonts w:ascii="Arial" w:hAnsi="Arial"/>
      <w:sz w:val="21"/>
      <w:lang w:val="en-US" w:eastAsia="zh-CN" w:bidi="ar-SA"/>
    </w:rPr>
  </w:style>
  <w:style w:type="paragraph" w:customStyle="1" w:styleId="180">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81">
    <w:name w:val="默认段落字体 Para Char Char Char Char Char Char Char"/>
    <w:basedOn w:val="1"/>
    <w:uiPriority w:val="0"/>
    <w:rPr>
      <w:rFonts w:ascii="Tahoma" w:hAnsi="Tahoma"/>
      <w:sz w:val="24"/>
    </w:rPr>
  </w:style>
  <w:style w:type="paragraph" w:customStyle="1" w:styleId="182">
    <w:name w:val="样式2"/>
    <w:basedOn w:val="6"/>
    <w:uiPriority w:val="0"/>
    <w:pPr>
      <w:numPr>
        <w:ilvl w:val="0"/>
        <w:numId w:val="8"/>
      </w:numPr>
      <w:spacing w:before="560" w:beforeLines="0" w:line="400" w:lineRule="exact"/>
      <w:jc w:val="center"/>
      <w:outlineLvl w:val="0"/>
    </w:pPr>
    <w:rPr>
      <w:b w:val="0"/>
      <w:sz w:val="44"/>
    </w:rPr>
  </w:style>
  <w:style w:type="paragraph" w:customStyle="1" w:styleId="183">
    <w:name w:val="段落正文"/>
    <w:basedOn w:val="1"/>
    <w:uiPriority w:val="0"/>
    <w:pPr>
      <w:spacing w:before="156" w:beforeLines="50" w:beforeAutospacing="0" w:line="360" w:lineRule="auto"/>
      <w:ind w:firstLine="200" w:firstLineChars="200"/>
    </w:pPr>
    <w:rPr>
      <w:spacing w:val="2"/>
      <w:sz w:val="24"/>
    </w:rPr>
  </w:style>
  <w:style w:type="paragraph" w:customStyle="1" w:styleId="184">
    <w:name w:val="样式 样式 首行缩进:  2 字符 + 首行缩进:  2 字符"/>
    <w:basedOn w:val="1"/>
    <w:uiPriority w:val="0"/>
    <w:pPr>
      <w:numPr>
        <w:ilvl w:val="0"/>
        <w:numId w:val="9"/>
      </w:numPr>
      <w:tabs>
        <w:tab w:val="clear" w:pos="1230"/>
      </w:tabs>
      <w:spacing w:line="360" w:lineRule="auto"/>
      <w:ind w:firstLine="480" w:firstLineChars="200"/>
    </w:pPr>
    <w:rPr>
      <w:sz w:val="24"/>
    </w:rPr>
  </w:style>
  <w:style w:type="paragraph" w:customStyle="1" w:styleId="185">
    <w:name w:val="样式4"/>
    <w:basedOn w:val="6"/>
    <w:uiPriority w:val="0"/>
    <w:pPr>
      <w:adjustRightInd w:val="0"/>
      <w:snapToGrid w:val="0"/>
    </w:pPr>
  </w:style>
  <w:style w:type="paragraph" w:customStyle="1" w:styleId="186">
    <w:name w:val="样式 标题 6第五层条 + 三号 段前: 0.5 行"/>
    <w:basedOn w:val="8"/>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7">
    <w:name w:val="Default"/>
    <w:uiPriority w:val="0"/>
    <w:pPr>
      <w:widowControl w:val="0"/>
      <w:autoSpaceDE w:val="0"/>
      <w:autoSpaceDN w:val="0"/>
      <w:adjustRightInd w:val="0"/>
    </w:pPr>
    <w:rPr>
      <w:rFonts w:ascii="宋体"/>
      <w:color w:val="000000"/>
      <w:sz w:val="24"/>
      <w:lang w:val="en-US" w:eastAsia="zh-CN" w:bidi="ar-SA"/>
    </w:rPr>
  </w:style>
  <w:style w:type="paragraph" w:customStyle="1" w:styleId="188">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8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 Char"/>
    <w:basedOn w:val="1"/>
    <w:uiPriority w:val="0"/>
    <w:pPr>
      <w:spacing w:line="240" w:lineRule="atLeast"/>
      <w:ind w:left="420" w:firstLine="420"/>
    </w:pPr>
    <w:rPr>
      <w:kern w:val="0"/>
      <w:sz w:val="21"/>
    </w:rPr>
  </w:style>
  <w:style w:type="paragraph" w:customStyle="1" w:styleId="191">
    <w:name w:val="摘要"/>
    <w:basedOn w:val="1"/>
    <w:next w:val="4"/>
    <w:uiPriority w:val="0"/>
    <w:pPr>
      <w:spacing w:line="360" w:lineRule="auto"/>
    </w:pPr>
    <w:rPr>
      <w:rFonts w:eastAsia="黑体"/>
      <w:sz w:val="20"/>
    </w:rPr>
  </w:style>
  <w:style w:type="paragraph" w:customStyle="1" w:styleId="192">
    <w:name w:val="简单回函地址"/>
    <w:basedOn w:val="1"/>
    <w:uiPriority w:val="0"/>
    <w:pPr>
      <w:adjustRightInd w:val="0"/>
      <w:snapToGrid w:val="0"/>
      <w:spacing w:line="360" w:lineRule="auto"/>
    </w:pPr>
    <w:rPr>
      <w:sz w:val="24"/>
    </w:rPr>
  </w:style>
  <w:style w:type="paragraph" w:customStyle="1" w:styleId="193">
    <w:name w:val="正文表格"/>
    <w:basedOn w:val="1"/>
    <w:uiPriority w:val="0"/>
    <w:pPr>
      <w:adjustRightInd w:val="0"/>
      <w:spacing w:before="40" w:beforeLines="0" w:beforeAutospacing="0" w:after="40" w:afterLines="0" w:afterAutospacing="0"/>
    </w:pPr>
    <w:rPr>
      <w:sz w:val="24"/>
    </w:rPr>
  </w:style>
  <w:style w:type="paragraph" w:customStyle="1" w:styleId="194">
    <w:name w:val="文本框样式1"/>
    <w:basedOn w:val="1"/>
    <w:uiPriority w:val="0"/>
    <w:pPr>
      <w:adjustRightInd w:val="0"/>
      <w:snapToGrid w:val="0"/>
      <w:spacing w:before="60" w:beforeLines="0" w:beforeAutospacing="0" w:line="180" w:lineRule="exact"/>
      <w:jc w:val="center"/>
    </w:pPr>
    <w:rPr>
      <w:sz w:val="21"/>
    </w:rPr>
  </w:style>
  <w:style w:type="paragraph" w:customStyle="1" w:styleId="195">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7">
    <w:name w:val="文本1"/>
    <w:basedOn w:val="1"/>
    <w:uiPriority w:val="0"/>
    <w:pPr>
      <w:adjustRightInd w:val="0"/>
      <w:spacing w:line="312" w:lineRule="atLeast"/>
      <w:jc w:val="center"/>
      <w:textAlignment w:val="baseline"/>
    </w:pPr>
    <w:rPr>
      <w:kern w:val="0"/>
      <w:sz w:val="18"/>
    </w:rPr>
  </w:style>
  <w:style w:type="paragraph" w:customStyle="1" w:styleId="198">
    <w:name w:val="Table Paragraph"/>
    <w:basedOn w:val="1"/>
    <w:qFormat/>
    <w:uiPriority w:val="1"/>
    <w:pPr>
      <w:spacing w:before="2"/>
      <w:ind w:left="97"/>
    </w:pPr>
    <w:rPr>
      <w:rFonts w:ascii="楷体" w:hAnsi="楷体" w:eastAsia="楷体" w:cs="楷体"/>
      <w:lang w:val="en-US" w:eastAsia="zh-CN" w:bidi="ar-SA"/>
    </w:rPr>
  </w:style>
  <w:style w:type="paragraph" w:customStyle="1" w:styleId="199">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0">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201">
    <w:name w:val="标准正文"/>
    <w:basedOn w:val="24"/>
    <w:uiPriority w:val="0"/>
    <w:pPr>
      <w:spacing w:before="60" w:beforeLines="0" w:after="60" w:afterLines="0" w:line="360" w:lineRule="auto"/>
      <w:ind w:left="0" w:firstLine="482"/>
    </w:pPr>
    <w:rPr>
      <w:rFonts w:ascii="Arial" w:hAnsi="Arial"/>
      <w:sz w:val="24"/>
    </w:rPr>
  </w:style>
  <w:style w:type="paragraph" w:customStyle="1" w:styleId="202">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03">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4">
    <w:name w:val=" Char Char Char"/>
    <w:basedOn w:val="1"/>
    <w:uiPriority w:val="0"/>
    <w:rPr>
      <w:rFonts w:ascii="Tahoma" w:hAnsi="Tahoma"/>
      <w:sz w:val="24"/>
    </w:rPr>
  </w:style>
  <w:style w:type="paragraph" w:customStyle="1" w:styleId="205">
    <w:name w:val="样式1xz"/>
    <w:basedOn w:val="1"/>
    <w:uiPriority w:val="0"/>
    <w:pPr>
      <w:tabs>
        <w:tab w:val="left" w:pos="1050"/>
        <w:tab w:val="right" w:leader="dot" w:pos="8296"/>
      </w:tabs>
    </w:pPr>
    <w:rPr>
      <w:caps/>
      <w:spacing w:val="20"/>
      <w:sz w:val="24"/>
    </w:rPr>
  </w:style>
  <w:style w:type="paragraph" w:customStyle="1" w:styleId="206">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207">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8">
    <w:name w:val="1.正文"/>
    <w:basedOn w:val="1"/>
    <w:uiPriority w:val="0"/>
    <w:pPr>
      <w:spacing w:line="360" w:lineRule="auto"/>
      <w:ind w:left="540" w:leftChars="225" w:firstLine="540" w:firstLineChars="225"/>
    </w:pPr>
    <w:rPr>
      <w:sz w:val="24"/>
    </w:rPr>
  </w:style>
  <w:style w:type="paragraph" w:customStyle="1" w:styleId="209">
    <w:name w:val="没有缩进（为图形使用）"/>
    <w:basedOn w:val="1"/>
    <w:uiPriority w:val="0"/>
    <w:pPr>
      <w:spacing w:before="120" w:beforeLines="0" w:beforeAutospacing="0" w:after="120" w:afterLines="0" w:afterAutospacing="0" w:line="360" w:lineRule="auto"/>
    </w:pPr>
    <w:rPr>
      <w:sz w:val="24"/>
    </w:rPr>
  </w:style>
  <w:style w:type="paragraph" w:customStyle="1" w:styleId="210">
    <w:name w:val="表头文本"/>
    <w:uiPriority w:val="0"/>
    <w:pPr>
      <w:jc w:val="center"/>
    </w:pPr>
    <w:rPr>
      <w:rFonts w:ascii="Arial" w:hAnsi="Arial"/>
      <w:b/>
      <w:sz w:val="21"/>
      <w:lang w:val="en-US" w:eastAsia="zh-CN" w:bidi="ar-SA"/>
    </w:rPr>
  </w:style>
  <w:style w:type="paragraph" w:customStyle="1" w:styleId="211">
    <w:name w:val="Item Step"/>
    <w:uiPriority w:val="0"/>
    <w:pPr>
      <w:tabs>
        <w:tab w:val="left" w:pos="1644"/>
      </w:tabs>
      <w:ind w:left="1644" w:hanging="510"/>
      <w:outlineLvl w:val="4"/>
    </w:pPr>
    <w:rPr>
      <w:rFonts w:ascii="Arial" w:hAnsi="Arial"/>
      <w:sz w:val="21"/>
      <w:lang w:val="en-US" w:eastAsia="zh-CN" w:bidi="ar-SA"/>
    </w:rPr>
  </w:style>
  <w:style w:type="paragraph" w:customStyle="1" w:styleId="212">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21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二级列表"/>
    <w:basedOn w:val="183"/>
    <w:next w:val="183"/>
    <w:uiPriority w:val="0"/>
    <w:pPr>
      <w:tabs>
        <w:tab w:val="left" w:pos="2120"/>
      </w:tabs>
      <w:ind w:firstLine="0" w:firstLineChars="0"/>
    </w:pPr>
    <w:rPr>
      <w:b/>
    </w:rPr>
  </w:style>
  <w:style w:type="paragraph" w:customStyle="1" w:styleId="215">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6">
    <w:name w:val="样式 正文首行缩进 2 + 首行缩进:  2 字符"/>
    <w:basedOn w:val="1"/>
    <w:uiPriority w:val="0"/>
    <w:pPr>
      <w:numPr>
        <w:ilvl w:val="0"/>
        <w:numId w:val="10"/>
      </w:numPr>
      <w:adjustRightInd w:val="0"/>
      <w:snapToGrid w:val="0"/>
      <w:spacing w:line="360" w:lineRule="auto"/>
    </w:pPr>
    <w:rPr>
      <w:rFonts w:ascii="Arial" w:hAnsi="Arial"/>
      <w:b/>
      <w:sz w:val="24"/>
    </w:rPr>
  </w:style>
  <w:style w:type="paragraph" w:customStyle="1" w:styleId="217">
    <w:name w:val="Char1 Char Char Char"/>
    <w:basedOn w:val="1"/>
    <w:uiPriority w:val="0"/>
    <w:rPr>
      <w:rFonts w:ascii="Tahoma" w:hAnsi="Tahoma"/>
      <w:sz w:val="30"/>
    </w:rPr>
  </w:style>
  <w:style w:type="paragraph" w:customStyle="1" w:styleId="218">
    <w:name w:val="样式3"/>
    <w:basedOn w:val="3"/>
    <w:next w:val="3"/>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9">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20">
    <w:name w:val="段 Char"/>
    <w:uiPriority w:val="0"/>
    <w:pPr>
      <w:autoSpaceDE w:val="0"/>
      <w:autoSpaceDN w:val="0"/>
      <w:ind w:firstLine="200" w:firstLineChars="200"/>
      <w:jc w:val="both"/>
    </w:pPr>
    <w:rPr>
      <w:rFonts w:ascii="宋体"/>
      <w:sz w:val="21"/>
      <w:lang w:val="en-US" w:eastAsia="zh-CN" w:bidi="ar-SA"/>
    </w:rPr>
  </w:style>
  <w:style w:type="paragraph" w:customStyle="1" w:styleId="221">
    <w:name w:val=" Char2 Char Char Char Char Char Char"/>
    <w:basedOn w:val="1"/>
    <w:uiPriority w:val="0"/>
    <w:rPr>
      <w:rFonts w:ascii="仿宋_GB2312"/>
      <w:b/>
      <w:sz w:val="30"/>
    </w:rPr>
  </w:style>
  <w:style w:type="paragraph" w:customStyle="1" w:styleId="222">
    <w:name w:val=" Char Char1 Char"/>
    <w:basedOn w:val="1"/>
    <w:uiPriority w:val="0"/>
    <w:rPr>
      <w:rFonts w:ascii="Tahoma" w:hAnsi="Tahoma"/>
      <w:sz w:val="24"/>
      <w:szCs w:val="24"/>
    </w:rPr>
  </w:style>
  <w:style w:type="paragraph" w:customStyle="1" w:styleId="223">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24">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5">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表格文字"/>
    <w:basedOn w:val="1"/>
    <w:qFormat/>
    <w:uiPriority w:val="0"/>
    <w:pPr>
      <w:spacing w:before="25" w:after="25"/>
      <w:jc w:val="left"/>
    </w:pPr>
    <w:rPr>
      <w:rFonts w:ascii="Times New Roman" w:hAnsi="Times New Roman" w:eastAsia="宋体" w:cs="Times New Roman"/>
      <w:bCs/>
      <w:color w:val="auto"/>
      <w:spacing w:val="10"/>
      <w:kern w:val="0"/>
      <w:szCs w:val="20"/>
    </w:rPr>
  </w:style>
  <w:style w:type="paragraph" w:customStyle="1" w:styleId="227">
    <w:name w:val="Item List"/>
    <w:uiPriority w:val="0"/>
    <w:pPr>
      <w:numPr>
        <w:ilvl w:val="0"/>
        <w:numId w:val="11"/>
      </w:numPr>
      <w:spacing w:line="300" w:lineRule="auto"/>
      <w:jc w:val="both"/>
    </w:pPr>
    <w:rPr>
      <w:rFonts w:ascii="Arial" w:hAnsi="Arial"/>
      <w:sz w:val="21"/>
      <w:lang w:val="en-US" w:eastAsia="zh-CN" w:bidi="ar-SA"/>
    </w:rPr>
  </w:style>
  <w:style w:type="paragraph" w:customStyle="1" w:styleId="228">
    <w:name w:val="样式 宋体 五号 两端对齐 行距: 单倍行距"/>
    <w:basedOn w:val="1"/>
    <w:uiPriority w:val="0"/>
    <w:pPr>
      <w:adjustRightInd w:val="0"/>
      <w:textAlignment w:val="baseline"/>
    </w:pPr>
    <w:rPr>
      <w:rFonts w:ascii="宋体" w:hAnsi="宋体"/>
      <w:kern w:val="0"/>
      <w:sz w:val="21"/>
    </w:rPr>
  </w:style>
  <w:style w:type="paragraph" w:customStyle="1" w:styleId="229">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230">
    <w:name w:val="内容标题"/>
    <w:basedOn w:val="18"/>
    <w:uiPriority w:val="0"/>
    <w:rPr>
      <w:rFonts w:ascii="Tahoma" w:hAnsi="Tahoma"/>
      <w:sz w:val="24"/>
    </w:rPr>
  </w:style>
  <w:style w:type="paragraph" w:customStyle="1" w:styleId="231">
    <w:name w:val="关键词"/>
    <w:basedOn w:val="1"/>
    <w:next w:val="1"/>
    <w:uiPriority w:val="0"/>
    <w:pPr>
      <w:spacing w:line="360" w:lineRule="auto"/>
    </w:pPr>
    <w:rPr>
      <w:rFonts w:eastAsia="黑体"/>
      <w:sz w:val="20"/>
    </w:rPr>
  </w:style>
  <w:style w:type="paragraph" w:customStyle="1" w:styleId="232">
    <w:name w:val="样式 行距: 1.5 倍行距1"/>
    <w:basedOn w:val="1"/>
    <w:uiPriority w:val="0"/>
    <w:pPr>
      <w:snapToGrid w:val="0"/>
    </w:pPr>
    <w:rPr>
      <w:sz w:val="21"/>
    </w:rPr>
  </w:style>
  <w:style w:type="paragraph" w:customStyle="1" w:styleId="233">
    <w:name w:val="表文字"/>
    <w:uiPriority w:val="0"/>
    <w:rPr>
      <w:rFonts w:ascii="宋体"/>
      <w:kern w:val="2"/>
      <w:lang w:val="en-US" w:eastAsia="zh-CN" w:bidi="ar-SA"/>
    </w:rPr>
  </w:style>
  <w:style w:type="paragraph" w:customStyle="1" w:styleId="234">
    <w:name w:val="IN Feature"/>
    <w:next w:val="219"/>
    <w:uiPriority w:val="0"/>
    <w:pPr>
      <w:keepNext/>
      <w:keepLines/>
      <w:spacing w:before="240" w:after="240"/>
      <w:outlineLvl w:val="7"/>
    </w:pPr>
    <w:rPr>
      <w:rFonts w:ascii="Arial" w:hAnsi="Arial" w:eastAsia="黑体"/>
      <w:sz w:val="21"/>
      <w:lang w:val="en-US" w:eastAsia="zh-CN" w:bidi="ar-SA"/>
    </w:rPr>
  </w:style>
  <w:style w:type="paragraph" w:customStyle="1" w:styleId="235">
    <w:name w:val="文章正文"/>
    <w:basedOn w:val="1"/>
    <w:uiPriority w:val="0"/>
    <w:pPr>
      <w:ind w:firstLine="560" w:firstLineChars="200"/>
    </w:pPr>
    <w:rPr>
      <w:rFonts w:ascii="仿宋_GB2312" w:hAnsi="宋体" w:eastAsia="仿宋_GB2312"/>
      <w:color w:val="000000"/>
    </w:rPr>
  </w:style>
  <w:style w:type="paragraph" w:customStyle="1" w:styleId="236">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37">
    <w:name w:val="af"/>
    <w:basedOn w:val="1"/>
    <w:uiPriority w:val="0"/>
    <w:pPr>
      <w:widowControl/>
      <w:spacing w:line="300" w:lineRule="atLeast"/>
      <w:jc w:val="left"/>
    </w:pPr>
    <w:rPr>
      <w:rFonts w:ascii="宋体" w:hAnsi="宋体"/>
      <w:kern w:val="0"/>
      <w:sz w:val="18"/>
    </w:rPr>
  </w:style>
  <w:style w:type="paragraph" w:customStyle="1" w:styleId="238">
    <w:name w:val="操作步骤"/>
    <w:basedOn w:val="1"/>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标题无"/>
    <w:basedOn w:val="1"/>
    <w:uiPriority w:val="0"/>
    <w:pPr>
      <w:spacing w:line="360" w:lineRule="auto"/>
    </w:pPr>
    <w:rPr>
      <w:sz w:val="24"/>
      <w:lang/>
    </w:rPr>
  </w:style>
  <w:style w:type="paragraph" w:customStyle="1" w:styleId="240">
    <w:name w:val="正文格式 Char"/>
    <w:basedOn w:val="1"/>
    <w:uiPriority w:val="0"/>
    <w:pPr>
      <w:widowControl/>
      <w:adjustRightInd w:val="0"/>
      <w:spacing w:line="440" w:lineRule="atLeast"/>
      <w:ind w:firstLine="510"/>
      <w:textAlignment w:val="baseline"/>
    </w:pPr>
    <w:rPr>
      <w:kern w:val="0"/>
      <w:sz w:val="24"/>
    </w:rPr>
  </w:style>
  <w:style w:type="paragraph" w:customStyle="1" w:styleId="241">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42">
    <w:name w:val="样式 正文缩进正文（首行缩进两字）表正文正文非缩进特点标题4段1 + 首行缩进:  2 字符"/>
    <w:basedOn w:val="16"/>
    <w:uiPriority w:val="0"/>
    <w:pPr>
      <w:ind w:firstLine="480" w:firstLineChars="200"/>
    </w:pPr>
  </w:style>
  <w:style w:type="paragraph" w:customStyle="1" w:styleId="243">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44">
    <w:name w:val="标题2"/>
    <w:basedOn w:val="4"/>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45">
    <w:name w:val="Char Char Char Char Char Char Char"/>
    <w:basedOn w:val="18"/>
    <w:uiPriority w:val="0"/>
    <w:rPr>
      <w:rFonts w:ascii="宋体" w:hAnsi="Tahoma"/>
    </w:rPr>
  </w:style>
  <w:style w:type="paragraph" w:customStyle="1" w:styleId="246">
    <w:name w:val="1"/>
    <w:basedOn w:val="1"/>
    <w:next w:val="31"/>
    <w:uiPriority w:val="0"/>
    <w:rPr>
      <w:rFonts w:ascii="宋体" w:hAnsi="Courier New"/>
      <w:sz w:val="21"/>
    </w:rPr>
  </w:style>
  <w:style w:type="paragraph" w:customStyle="1" w:styleId="247">
    <w:name w:val="列表段落1"/>
    <w:basedOn w:val="1"/>
    <w:qFormat/>
    <w:uiPriority w:val="99"/>
    <w:pPr>
      <w:ind w:firstLine="420" w:firstLineChars="200"/>
    </w:pPr>
  </w:style>
  <w:style w:type="paragraph" w:customStyle="1" w:styleId="248">
    <w:name w:val="样式1"/>
    <w:basedOn w:val="6"/>
    <w:uiPriority w:val="0"/>
    <w:pPr>
      <w:tabs>
        <w:tab w:val="left" w:pos="720"/>
      </w:tabs>
      <w:spacing w:before="500" w:beforeLines="0" w:beforeAutospacing="0" w:after="260" w:afterLines="0" w:afterAutospacing="0" w:line="560" w:lineRule="atLeast"/>
      <w:ind w:left="420" w:hanging="420"/>
    </w:pPr>
  </w:style>
  <w:style w:type="paragraph" w:customStyle="1" w:styleId="249">
    <w:name w:val="正文（首行不缩进）"/>
    <w:basedOn w:val="1"/>
    <w:uiPriority w:val="0"/>
    <w:pPr>
      <w:autoSpaceDE w:val="0"/>
      <w:autoSpaceDN w:val="0"/>
      <w:adjustRightInd w:val="0"/>
      <w:spacing w:line="360" w:lineRule="auto"/>
      <w:jc w:val="left"/>
    </w:pPr>
    <w:rPr>
      <w:kern w:val="0"/>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16297</Words>
  <Characters>16972</Characters>
  <Lines>162</Lines>
  <Paragraphs>45</Paragraphs>
  <TotalTime>0</TotalTime>
  <ScaleCrop>false</ScaleCrop>
  <LinksUpToDate>false</LinksUpToDate>
  <CharactersWithSpaces>18698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fyy</cp:lastModifiedBy>
  <cp:lastPrinted>2024-12-03T01:37:21Z</cp:lastPrinted>
  <dcterms:modified xsi:type="dcterms:W3CDTF">2025-06-18T08:40:29Z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BC1A0F3FFC23447BAD9219BF1FB0B5B6</vt:lpwstr>
  </property>
</Properties>
</file>